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F8" w:rsidRDefault="00F037F8">
      <w:pPr>
        <w:spacing w:after="0"/>
        <w:rPr>
          <w:rFonts w:ascii="Palatino Linotype" w:eastAsia="Palatino Linotype" w:hAnsi="Palatino Linotype" w:cs="Palatino Linotype"/>
          <w:sz w:val="24"/>
        </w:rPr>
      </w:pPr>
    </w:p>
    <w:p w:rsidR="00F037F8" w:rsidRDefault="00F037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037F8" w:rsidRDefault="00B9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</w:rPr>
        <w:t>R Sreehari</w:t>
      </w:r>
    </w:p>
    <w:bookmarkEnd w:id="0"/>
    <w:p w:rsidR="00F037F8" w:rsidRDefault="00B9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+91-9880129848</w:t>
      </w:r>
    </w:p>
    <w:p w:rsidR="00F037F8" w:rsidRDefault="00B9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u w:val="single"/>
        </w:rPr>
        <w:t>sreehariraguri@gmail.com</w:t>
      </w:r>
    </w:p>
    <w:p w:rsidR="00F037F8" w:rsidRDefault="00B913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  <w:t>Professional Summary</w:t>
      </w:r>
    </w:p>
    <w:p w:rsidR="00F037F8" w:rsidRDefault="00F037F8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F037F8" w:rsidRDefault="00B91395">
      <w:pPr>
        <w:numPr>
          <w:ilvl w:val="0"/>
          <w:numId w:val="1"/>
        </w:numPr>
        <w:tabs>
          <w:tab w:val="left" w:pos="288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Highly competitive, self-starter, disciplined and goal oriented professional with </w:t>
      </w:r>
      <w:r>
        <w:rPr>
          <w:rFonts w:ascii="Times New Roman" w:eastAsia="Times New Roman" w:hAnsi="Times New Roman" w:cs="Times New Roman"/>
          <w:b/>
          <w:sz w:val="20"/>
        </w:rPr>
        <w:t xml:space="preserve"> 5.3 years of SCM Experience</w:t>
      </w:r>
    </w:p>
    <w:p w:rsidR="00F037F8" w:rsidRDefault="00B91395">
      <w:pPr>
        <w:numPr>
          <w:ilvl w:val="0"/>
          <w:numId w:val="1"/>
        </w:numPr>
        <w:tabs>
          <w:tab w:val="left" w:pos="288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5.4 years of relevant experience in Oracle APPS SCM Functional </w:t>
      </w:r>
      <w:r>
        <w:rPr>
          <w:rFonts w:ascii="Times New Roman" w:eastAsia="Times New Roman" w:hAnsi="Times New Roman" w:cs="Times New Roman"/>
          <w:b/>
          <w:sz w:val="20"/>
        </w:rPr>
        <w:t>which consists of1 E2E implementation, 1 testing and 1 Support projects</w:t>
      </w:r>
    </w:p>
    <w:p w:rsidR="00F037F8" w:rsidRDefault="00B91395">
      <w:pPr>
        <w:numPr>
          <w:ilvl w:val="0"/>
          <w:numId w:val="1"/>
        </w:numPr>
        <w:tabs>
          <w:tab w:val="left" w:pos="288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Knowledge of handling full lifecycle of Oracle Consultancy with specialization</w:t>
      </w:r>
      <w:r>
        <w:rPr>
          <w:rFonts w:ascii="Times New Roman" w:eastAsia="Times New Roman" w:hAnsi="Times New Roman" w:cs="Times New Roman"/>
          <w:sz w:val="20"/>
        </w:rPr>
        <w:t xml:space="preserve"> in Supply Chain Management, including requ</w:t>
      </w:r>
      <w:r>
        <w:rPr>
          <w:rFonts w:ascii="Times New Roman" w:eastAsia="Times New Roman" w:hAnsi="Times New Roman" w:cs="Times New Roman"/>
          <w:sz w:val="20"/>
        </w:rPr>
        <w:t xml:space="preserve">irement gathering from the business, studying existing process, involvement of technical and functional aspects, design specification and ability to interact with client /end user to solicit information and define solution requirement. </w:t>
      </w:r>
    </w:p>
    <w:p w:rsidR="00F037F8" w:rsidRDefault="00B91395">
      <w:pPr>
        <w:numPr>
          <w:ilvl w:val="0"/>
          <w:numId w:val="1"/>
        </w:numPr>
        <w:tabs>
          <w:tab w:val="left" w:pos="288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Experience in devel</w:t>
      </w:r>
      <w:r>
        <w:rPr>
          <w:rFonts w:ascii="Times New Roman" w:eastAsia="Times New Roman" w:hAnsi="Times New Roman" w:cs="Times New Roman"/>
          <w:sz w:val="20"/>
        </w:rPr>
        <w:t xml:space="preserve">opment of sourcing strategies, vendor identification; carrying out development and analytical assessment to strengthen supply chain effectiveness. </w:t>
      </w:r>
    </w:p>
    <w:p w:rsidR="00F037F8" w:rsidRDefault="00B91395">
      <w:pPr>
        <w:numPr>
          <w:ilvl w:val="0"/>
          <w:numId w:val="1"/>
        </w:numPr>
        <w:tabs>
          <w:tab w:val="left" w:pos="288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Abilities in forging and implementing strategies aimed at achieving results by leading and motivating the wo</w:t>
      </w:r>
      <w:r>
        <w:rPr>
          <w:rFonts w:ascii="Times New Roman" w:eastAsia="Times New Roman" w:hAnsi="Times New Roman" w:cs="Times New Roman"/>
          <w:sz w:val="20"/>
        </w:rPr>
        <w:t>rkforce towards accomplishing business and corporate goals.</w:t>
      </w:r>
    </w:p>
    <w:p w:rsidR="00F037F8" w:rsidRDefault="00B91395">
      <w:pPr>
        <w:numPr>
          <w:ilvl w:val="0"/>
          <w:numId w:val="1"/>
        </w:numPr>
        <w:tabs>
          <w:tab w:val="left" w:pos="288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Effective communicator with excellent negotiation skills, leadership qualities and analytical power.</w:t>
      </w:r>
    </w:p>
    <w:p w:rsidR="00F037F8" w:rsidRDefault="00B91395">
      <w:pPr>
        <w:numPr>
          <w:ilvl w:val="0"/>
          <w:numId w:val="1"/>
        </w:numPr>
        <w:tabs>
          <w:tab w:val="left" w:pos="288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Hands on experience on Inventory, Purchasing, Order Management, OTC cycle, PTP cycle, Basics of</w:t>
      </w:r>
      <w:r>
        <w:rPr>
          <w:rFonts w:ascii="Times New Roman" w:eastAsia="Times New Roman" w:hAnsi="Times New Roman" w:cs="Times New Roman"/>
          <w:sz w:val="20"/>
        </w:rPr>
        <w:t xml:space="preserve">  BOM, and WIP</w:t>
      </w:r>
    </w:p>
    <w:p w:rsidR="00F037F8" w:rsidRDefault="00B91395">
      <w:pPr>
        <w:numPr>
          <w:ilvl w:val="0"/>
          <w:numId w:val="1"/>
        </w:numPr>
        <w:spacing w:before="6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Effectively participates in conducting the weekend walk-in drives and also schedule interviews</w:t>
      </w:r>
    </w:p>
    <w:p w:rsidR="00F037F8" w:rsidRDefault="00B91395">
      <w:pPr>
        <w:numPr>
          <w:ilvl w:val="0"/>
          <w:numId w:val="1"/>
        </w:numPr>
        <w:tabs>
          <w:tab w:val="left" w:pos="288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Knowledge on Oracle Apps Fusion Cloud modules such as Oracle Apps Fusion Inventory, Fusion Procurement, Fusion Order Orchestration (DOO)</w:t>
      </w:r>
    </w:p>
    <w:p w:rsidR="00F037F8" w:rsidRDefault="00F037F8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F037F8" w:rsidRDefault="00B91395">
      <w:pPr>
        <w:keepNext/>
        <w:spacing w:after="60" w:line="240" w:lineRule="auto"/>
        <w:ind w:left="576" w:hanging="576"/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  <w:t xml:space="preserve">Skills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  <w:t>Profile</w:t>
      </w:r>
    </w:p>
    <w:p w:rsidR="00F037F8" w:rsidRDefault="00B91395">
      <w:pPr>
        <w:keepLines/>
        <w:tabs>
          <w:tab w:val="left" w:pos="2160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Technical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3"/>
        <w:gridCol w:w="7815"/>
      </w:tblGrid>
      <w:tr w:rsidR="00F037F8">
        <w:trPr>
          <w:trHeight w:val="6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before="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Operating System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tabs>
                <w:tab w:val="left" w:pos="72"/>
              </w:tabs>
              <w:spacing w:before="60" w:after="0" w:line="240" w:lineRule="auto"/>
              <w:ind w:left="-10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ab/>
              <w:t>Windows 98/2000/2003 Server/XP/7</w:t>
            </w:r>
          </w:p>
        </w:tc>
      </w:tr>
      <w:tr w:rsidR="00F037F8">
        <w:trPr>
          <w:trHeight w:val="51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before="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Environment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tabs>
                <w:tab w:val="left" w:pos="72"/>
              </w:tabs>
              <w:spacing w:before="60" w:after="0" w:line="240" w:lineRule="auto"/>
              <w:ind w:left="-10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ab/>
              <w:t>Oracle Apps EBS R12, 12.1.1,12.2.4</w:t>
            </w:r>
          </w:p>
        </w:tc>
      </w:tr>
      <w:tr w:rsidR="00F037F8">
        <w:trPr>
          <w:trHeight w:val="11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before="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Modules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tabs>
                <w:tab w:val="left" w:pos="72"/>
              </w:tabs>
              <w:spacing w:before="60" w:after="0" w:line="240" w:lineRule="auto"/>
              <w:ind w:left="-10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Inventory, Purchasing and Order management.</w:t>
            </w:r>
          </w:p>
        </w:tc>
      </w:tr>
      <w:tr w:rsidR="00F037F8">
        <w:trPr>
          <w:trHeight w:val="51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before="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Database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tabs>
                <w:tab w:val="left" w:pos="72"/>
              </w:tabs>
              <w:spacing w:before="60" w:after="0" w:line="240" w:lineRule="auto"/>
              <w:ind w:left="-10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ab/>
              <w:t>DB2, Oracle, SQL Server, Oracle pl/sql</w:t>
            </w:r>
          </w:p>
        </w:tc>
      </w:tr>
      <w:tr w:rsidR="00F037F8">
        <w:trPr>
          <w:trHeight w:val="51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before="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Utilities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TOAD, SQL*Plus, Data Loader, SQL Developer, and HP ALM, </w:t>
            </w:r>
          </w:p>
          <w:p w:rsidR="00F037F8" w:rsidRDefault="00F037F8">
            <w:pPr>
              <w:spacing w:after="0" w:line="240" w:lineRule="auto"/>
            </w:pPr>
          </w:p>
        </w:tc>
      </w:tr>
    </w:tbl>
    <w:p w:rsidR="00F037F8" w:rsidRDefault="00F037F8">
      <w:pPr>
        <w:keepNext/>
        <w:spacing w:after="60" w:line="240" w:lineRule="auto"/>
        <w:ind w:left="576" w:hanging="576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F037F8" w:rsidRDefault="00B91395">
      <w:pPr>
        <w:keepNext/>
        <w:spacing w:after="60" w:line="240" w:lineRule="auto"/>
        <w:ind w:left="576" w:hanging="576"/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  <w:t>Professional Experience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5123"/>
      </w:tblGrid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Organization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BLUESTREAK SOLUTIONS LLP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Client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Hamad Medical Corporation, Qatar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Project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Support and Enhancements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Project Duration (From &amp; To in Month/Year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Format)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Jan 2020 to Present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Role/Title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Oracle Apps SCM Functional Consultant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Work Location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Bangalore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Project Description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Hamad Medical Corporation is a Qatar Government owned health care organization which provides IT support for all its state-owned hos</w:t>
            </w:r>
            <w:r>
              <w:rPr>
                <w:rFonts w:ascii="Times New Roman" w:eastAsia="Times New Roman" w:hAnsi="Times New Roman" w:cs="Times New Roman"/>
                <w:sz w:val="20"/>
              </w:rPr>
              <w:t>pitals,O2C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Responsibilities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numPr>
                <w:ilvl w:val="0"/>
                <w:numId w:val="2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Application support for Inventory, Procurement, Order Management modules</w:t>
            </w:r>
          </w:p>
          <w:p w:rsidR="00F037F8" w:rsidRDefault="00B91395">
            <w:pPr>
              <w:numPr>
                <w:ilvl w:val="0"/>
                <w:numId w:val="2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Implementing enhancements straight from requirement gathering, MD50, Test scripts documentation to migrating changes to PROD instance.</w:t>
            </w:r>
          </w:p>
          <w:p w:rsidR="00F037F8" w:rsidRDefault="00B91395">
            <w:pPr>
              <w:numPr>
                <w:ilvl w:val="0"/>
                <w:numId w:val="2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My responsibility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as an Offshore Functional Consultant for Distribution (INV, PO and OM) and Manufacturing (WIP, BOM) modules of Oracle apps R12.</w:t>
            </w:r>
          </w:p>
          <w:p w:rsidR="00F037F8" w:rsidRDefault="00B91395">
            <w:pPr>
              <w:numPr>
                <w:ilvl w:val="0"/>
                <w:numId w:val="2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Production Support and Maintenance (Offshore) in Oracle Distribution and Manufacturing</w:t>
            </w:r>
          </w:p>
          <w:p w:rsidR="00F037F8" w:rsidRDefault="00B91395">
            <w:pPr>
              <w:numPr>
                <w:ilvl w:val="0"/>
                <w:numId w:val="2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Work with Business Users on a daily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basis, providing functional support to ensure successful flow of Business processes.</w:t>
            </w:r>
          </w:p>
          <w:p w:rsidR="00F037F8" w:rsidRDefault="00B91395">
            <w:pPr>
              <w:numPr>
                <w:ilvl w:val="0"/>
                <w:numId w:val="2"/>
              </w:numPr>
              <w:spacing w:after="80" w:line="240" w:lineRule="auto"/>
              <w:ind w:left="335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Performing the analysis and resolving the issues for the tickets raised by the end users.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Environment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Oracle R12 12.1.3</w:t>
            </w:r>
          </w:p>
        </w:tc>
      </w:tr>
      <w:tr w:rsidR="00F037F8">
        <w:trPr>
          <w:trHeight w:val="1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1D9"/>
            <w:tcMar>
              <w:left w:w="114" w:type="dxa"/>
              <w:right w:w="114" w:type="dxa"/>
            </w:tcMar>
            <w:vAlign w:val="center"/>
          </w:tcPr>
          <w:p w:rsidR="00F037F8" w:rsidRDefault="00F037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Organization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BLUESTREAK SOLUTIONS LLP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Client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Motorola Solutions Inc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Project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LONGCYCLE- Implementation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Project Duration (From &amp; To in Month/Year Format)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Aug 2019 to Jan 2020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Role/Title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Oracle Apps SCM Functional Consultant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Work Location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Bangalore, India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Project Description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Motorola Solutions, Inc. is an American data communications and telecommunications equipment provider that succeeded Motorola, Inc., following the spinoff of the mobile phone division into Motorola Mobility in 2011,O2C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Responsibilities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numPr>
                <w:ilvl w:val="0"/>
                <w:numId w:val="3"/>
              </w:numPr>
              <w:spacing w:before="60" w:after="60" w:line="240" w:lineRule="auto"/>
              <w:ind w:left="330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Performed the As-Is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study to understand the various Business flows and systems</w:t>
            </w:r>
          </w:p>
          <w:p w:rsidR="00F037F8" w:rsidRDefault="00B91395">
            <w:pPr>
              <w:numPr>
                <w:ilvl w:val="0"/>
                <w:numId w:val="3"/>
              </w:numPr>
              <w:spacing w:before="60" w:after="60" w:line="240" w:lineRule="auto"/>
              <w:ind w:left="330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Performed the Fit/Gap analysis for Purchasing module</w:t>
            </w:r>
          </w:p>
          <w:p w:rsidR="00F037F8" w:rsidRDefault="00B91395">
            <w:pPr>
              <w:numPr>
                <w:ilvl w:val="0"/>
                <w:numId w:val="3"/>
              </w:numPr>
              <w:spacing w:before="60" w:after="60" w:line="240" w:lineRule="auto"/>
              <w:ind w:left="330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Created Functional Specifications for Retrofit Conversions/Extensions and for the New Extension in Purchasing</w:t>
            </w:r>
          </w:p>
          <w:p w:rsidR="00F037F8" w:rsidRDefault="00B91395">
            <w:pPr>
              <w:numPr>
                <w:ilvl w:val="0"/>
                <w:numId w:val="3"/>
              </w:numPr>
              <w:spacing w:before="60" w:after="60" w:line="240" w:lineRule="auto"/>
              <w:ind w:left="330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Part of the core team to design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he E2E solution for the separated entity</w:t>
            </w:r>
          </w:p>
          <w:p w:rsidR="00F037F8" w:rsidRDefault="00B91395">
            <w:pPr>
              <w:keepNext/>
              <w:keepLines/>
              <w:numPr>
                <w:ilvl w:val="0"/>
                <w:numId w:val="3"/>
              </w:numPr>
              <w:spacing w:before="60" w:after="60" w:line="240" w:lineRule="auto"/>
              <w:ind w:left="330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Worked on POCs during the design of the E2E solution</w:t>
            </w:r>
          </w:p>
          <w:p w:rsidR="00F037F8" w:rsidRDefault="00B91395">
            <w:pPr>
              <w:keepNext/>
              <w:keepLines/>
              <w:numPr>
                <w:ilvl w:val="0"/>
                <w:numId w:val="3"/>
              </w:numPr>
              <w:spacing w:before="60" w:after="60" w:line="240" w:lineRule="auto"/>
              <w:ind w:left="330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Worked with the Technical team on the retrofits and extensions to help them build the objects</w:t>
            </w:r>
          </w:p>
          <w:p w:rsidR="00F037F8" w:rsidRDefault="00B91395">
            <w:pPr>
              <w:keepNext/>
              <w:keepLines/>
              <w:numPr>
                <w:ilvl w:val="0"/>
                <w:numId w:val="3"/>
              </w:numPr>
              <w:spacing w:before="60" w:after="60" w:line="240" w:lineRule="auto"/>
              <w:ind w:left="330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Worked on identifying and building the Test scenarios for SIT and 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T</w:t>
            </w:r>
          </w:p>
          <w:p w:rsidR="00F037F8" w:rsidRDefault="00B91395">
            <w:pPr>
              <w:keepNext/>
              <w:keepLines/>
              <w:numPr>
                <w:ilvl w:val="0"/>
                <w:numId w:val="3"/>
              </w:numPr>
              <w:spacing w:before="60" w:after="60" w:line="240" w:lineRule="auto"/>
              <w:ind w:left="330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Was involved during the preparation of the cutover Plan for Purchasing track</w:t>
            </w:r>
          </w:p>
          <w:p w:rsidR="00F037F8" w:rsidRDefault="00B91395">
            <w:pPr>
              <w:numPr>
                <w:ilvl w:val="0"/>
                <w:numId w:val="3"/>
              </w:numPr>
              <w:spacing w:before="60" w:after="60" w:line="240" w:lineRule="auto"/>
              <w:ind w:left="330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Doing the functional setups during the various testing phases/mock cutovers and Production cutover</w:t>
            </w:r>
          </w:p>
          <w:p w:rsidR="00F037F8" w:rsidRDefault="00B91395">
            <w:pPr>
              <w:numPr>
                <w:ilvl w:val="0"/>
                <w:numId w:val="3"/>
              </w:numPr>
              <w:spacing w:before="60" w:after="60" w:line="240" w:lineRule="auto"/>
              <w:ind w:left="33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Assisted the onsite team to resolve the day-to-day issues raised by the business users during the CAT/Post Go-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 xml:space="preserve">Live Support phases 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Environment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>Oracle R12 12.2.6</w:t>
            </w:r>
          </w:p>
        </w:tc>
      </w:tr>
      <w:tr w:rsidR="00F037F8">
        <w:trPr>
          <w:trHeight w:val="1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1D9"/>
            <w:tcMar>
              <w:left w:w="114" w:type="dxa"/>
              <w:right w:w="114" w:type="dxa"/>
            </w:tcMar>
            <w:vAlign w:val="center"/>
          </w:tcPr>
          <w:p w:rsidR="00F037F8" w:rsidRDefault="00F037F8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Organization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BLUESTREAK SOLUTIONS LLP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Client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Vertiv Co </w:t>
            </w:r>
          </w:p>
        </w:tc>
      </w:tr>
      <w:tr w:rsidR="00F037F8">
        <w:trPr>
          <w:trHeight w:val="24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Project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APPS_OD_ATST (Testing)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Project Duration (From &amp; To in Month/Year Format)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Sep 2017 to July 2019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Role/Title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Oracle Apps SCM Consultant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Work Location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Bangalore, India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Project Description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Vertiv Co is an American, Ohio-based, provider of equipment and </w:t>
            </w:r>
            <w:r>
              <w:rPr>
                <w:rFonts w:ascii="Times New Roman" w:eastAsia="Times New Roman" w:hAnsi="Times New Roman" w:cs="Times New Roman"/>
                <w:sz w:val="20"/>
              </w:rPr>
              <w:t>services for datacenters. Platinum Equity acquired the Emerson Network Power business from Emerson Electric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Responsibilities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numPr>
                <w:ilvl w:val="0"/>
                <w:numId w:val="4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Responsible for developing the Test Scripts</w:t>
            </w:r>
          </w:p>
          <w:p w:rsidR="00F037F8" w:rsidRDefault="00B91395">
            <w:pPr>
              <w:numPr>
                <w:ilvl w:val="0"/>
                <w:numId w:val="4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Doing the functional testing in the INT and SIT phases to test the standard and custom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flows as per the test cases</w:t>
            </w:r>
          </w:p>
          <w:p w:rsidR="00F037F8" w:rsidRDefault="00B91395">
            <w:pPr>
              <w:numPr>
                <w:ilvl w:val="0"/>
                <w:numId w:val="4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Doing the functional setups during the various testing phases and mock cutovers</w:t>
            </w:r>
          </w:p>
          <w:p w:rsidR="00F037F8" w:rsidRDefault="00B91395">
            <w:pPr>
              <w:numPr>
                <w:ilvl w:val="0"/>
                <w:numId w:val="4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Assisting the Human Capital team while preparing the UPK Training material for the client</w:t>
            </w:r>
          </w:p>
          <w:p w:rsidR="00F037F8" w:rsidRDefault="00B91395">
            <w:pPr>
              <w:numPr>
                <w:ilvl w:val="0"/>
                <w:numId w:val="4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Analyzed user requirements and developed test cases.</w:t>
            </w:r>
          </w:p>
          <w:p w:rsidR="00F037F8" w:rsidRDefault="00B91395">
            <w:pPr>
              <w:numPr>
                <w:ilvl w:val="0"/>
                <w:numId w:val="4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Unde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rstanding the business requirement and functionality and ensuring that the test cases are covering all possible scenarios. </w:t>
            </w:r>
          </w:p>
          <w:p w:rsidR="00F037F8" w:rsidRDefault="00B91395">
            <w:pPr>
              <w:numPr>
                <w:ilvl w:val="0"/>
                <w:numId w:val="4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Developed reports and graphs to present the stress test results to the management. </w:t>
            </w:r>
          </w:p>
          <w:p w:rsidR="00F037F8" w:rsidRDefault="00B91395">
            <w:pPr>
              <w:numPr>
                <w:ilvl w:val="0"/>
                <w:numId w:val="4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Created test cases and scripts to test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performance of the application.</w:t>
            </w:r>
          </w:p>
          <w:p w:rsidR="00F037F8" w:rsidRDefault="00B91395">
            <w:pPr>
              <w:numPr>
                <w:ilvl w:val="0"/>
                <w:numId w:val="4"/>
              </w:numPr>
              <w:spacing w:after="0" w:line="240" w:lineRule="auto"/>
              <w:ind w:left="335" w:hanging="360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Designed, scheduled and executed test plans within the predefined timeframe. </w:t>
            </w:r>
          </w:p>
          <w:p w:rsidR="00F037F8" w:rsidRDefault="00B91395">
            <w:pPr>
              <w:numPr>
                <w:ilvl w:val="0"/>
                <w:numId w:val="4"/>
              </w:numPr>
              <w:spacing w:after="80" w:line="240" w:lineRule="auto"/>
              <w:ind w:left="335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Tracked, Detected and Reported bugs to Lead Tester using Quality Centre.</w:t>
            </w:r>
          </w:p>
        </w:tc>
      </w:tr>
      <w:tr w:rsidR="00F037F8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Environment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>Oracle Apps R12</w:t>
            </w:r>
          </w:p>
        </w:tc>
      </w:tr>
      <w:tr w:rsidR="00F037F8">
        <w:trPr>
          <w:trHeight w:val="1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1D9"/>
            <w:tcMar>
              <w:left w:w="114" w:type="dxa"/>
              <w:right w:w="114" w:type="dxa"/>
            </w:tcMar>
            <w:vAlign w:val="center"/>
          </w:tcPr>
          <w:p w:rsidR="00F037F8" w:rsidRDefault="00F037F8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</w:tbl>
    <w:p w:rsidR="00F037F8" w:rsidRDefault="00F037F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F037F8" w:rsidRDefault="00B91395">
      <w:pPr>
        <w:keepNext/>
        <w:spacing w:after="60" w:line="240" w:lineRule="auto"/>
        <w:ind w:left="576" w:hanging="576"/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  <w:t>Professional Organizations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4"/>
        <w:gridCol w:w="1739"/>
        <w:gridCol w:w="1192"/>
        <w:gridCol w:w="1309"/>
        <w:gridCol w:w="1340"/>
        <w:gridCol w:w="1764"/>
      </w:tblGrid>
      <w:tr w:rsidR="00F037F8">
        <w:trPr>
          <w:trHeight w:val="1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Prior Work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Experience Details</w:t>
            </w:r>
          </w:p>
        </w:tc>
      </w:tr>
      <w:tr w:rsidR="00F037F8">
        <w:trPr>
          <w:trHeight w:val="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Organization’s Name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Designation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Dates of Employment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Location (City &amp;State)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B9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Explanation for Interruption / gap</w:t>
            </w:r>
          </w:p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(If Any)</w:t>
            </w:r>
          </w:p>
        </w:tc>
      </w:tr>
      <w:tr w:rsidR="00F037F8">
        <w:trPr>
          <w:trHeight w:val="72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F037F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F037F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From</w:t>
            </w:r>
          </w:p>
          <w:p w:rsidR="00F037F8" w:rsidRDefault="00B913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(DD-MON-YYYY)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To</w:t>
            </w:r>
          </w:p>
          <w:p w:rsidR="00F037F8" w:rsidRDefault="00B913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(DD-MON-YYYY)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F037F8">
            <w:pPr>
              <w:spacing w:after="0"/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F037F8" w:rsidRDefault="00F037F8">
            <w:pPr>
              <w:spacing w:after="0"/>
            </w:pPr>
          </w:p>
        </w:tc>
      </w:tr>
      <w:tr w:rsidR="00F037F8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BLUESTREAK SOLUTIONS LLP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SCM Functional Consultant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07-Sep-2017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Till Date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F037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N/A</w:t>
            </w:r>
          </w:p>
        </w:tc>
      </w:tr>
    </w:tbl>
    <w:p w:rsidR="00F037F8" w:rsidRDefault="00F037F8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F037F8" w:rsidRDefault="00B91395">
      <w:pPr>
        <w:keepNext/>
        <w:spacing w:after="60" w:line="240" w:lineRule="auto"/>
        <w:ind w:left="576" w:hanging="576"/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  <w:t>Education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0"/>
        <w:gridCol w:w="2291"/>
        <w:gridCol w:w="2464"/>
        <w:gridCol w:w="2373"/>
      </w:tblGrid>
      <w:tr w:rsidR="00F037F8">
        <w:trPr>
          <w:trHeight w:val="2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Course of Study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Specialization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Name of University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Year of Completion </w:t>
            </w:r>
          </w:p>
        </w:tc>
      </w:tr>
      <w:tr w:rsidR="00F037F8">
        <w:trPr>
          <w:trHeight w:val="2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M.B. 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Finance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JNTU-A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037F8" w:rsidRDefault="00B913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2015</w:t>
            </w:r>
          </w:p>
        </w:tc>
      </w:tr>
    </w:tbl>
    <w:p w:rsidR="00F037F8" w:rsidRDefault="00B91395">
      <w:pPr>
        <w:spacing w:before="60"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ba27abff14a209ba154db1aa85cc73f6134f530e18705c4458440321091b5b58110a110615425d5f094356014b4450530401195c1333471b1b11154958540d5942011503504e1c180c571833471b1b06184459580a595601514841481f0f2b561358191b195115495d0c00584e4209430247460c590858184508105042445b0c0f054e4108120211474a411b1213471b1b11144650540e5949150b10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ba27abff14a209ba154db1aa85cc73f6134f530e18705c4458440321091b5b58110a110615425d5f094356014b4450530401195c1333471b1b11154958540d5942011503504e1c180c571833471b1b06184459580a595601514841481f0f2b561358191b195115495d0c00584e4209430247460c590858184508105042445b0c0f054e4108120211474a411b1213471b1b11144650540e5949150b10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7F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0C92"/>
    <w:multiLevelType w:val="hybridMultilevel"/>
    <w:tmpl w:val="00000000"/>
    <w:lvl w:ilvl="0" w:tplc="AB4C197A">
      <w:start w:val="1"/>
      <w:numFmt w:val="bullet"/>
      <w:lvlText w:val="•"/>
      <w:lvlJc w:val="left"/>
    </w:lvl>
    <w:lvl w:ilvl="1" w:tplc="CA2ED918">
      <w:start w:val="1"/>
      <w:numFmt w:val="decimal"/>
      <w:lvlText w:val=""/>
      <w:lvlJc w:val="left"/>
    </w:lvl>
    <w:lvl w:ilvl="2" w:tplc="2338A13E">
      <w:start w:val="1"/>
      <w:numFmt w:val="decimal"/>
      <w:lvlText w:val=""/>
      <w:lvlJc w:val="left"/>
    </w:lvl>
    <w:lvl w:ilvl="3" w:tplc="68089CA2">
      <w:start w:val="1"/>
      <w:numFmt w:val="decimal"/>
      <w:lvlText w:val=""/>
      <w:lvlJc w:val="left"/>
    </w:lvl>
    <w:lvl w:ilvl="4" w:tplc="89A644FA">
      <w:start w:val="1"/>
      <w:numFmt w:val="decimal"/>
      <w:lvlText w:val=""/>
      <w:lvlJc w:val="left"/>
    </w:lvl>
    <w:lvl w:ilvl="5" w:tplc="84E4C28C">
      <w:start w:val="1"/>
      <w:numFmt w:val="decimal"/>
      <w:lvlText w:val=""/>
      <w:lvlJc w:val="left"/>
    </w:lvl>
    <w:lvl w:ilvl="6" w:tplc="0DE202B2">
      <w:start w:val="1"/>
      <w:numFmt w:val="decimal"/>
      <w:lvlText w:val=""/>
      <w:lvlJc w:val="left"/>
    </w:lvl>
    <w:lvl w:ilvl="7" w:tplc="AE8CA616">
      <w:start w:val="1"/>
      <w:numFmt w:val="decimal"/>
      <w:lvlText w:val=""/>
      <w:lvlJc w:val="left"/>
    </w:lvl>
    <w:lvl w:ilvl="8" w:tplc="192AA75E">
      <w:start w:val="1"/>
      <w:numFmt w:val="decimal"/>
      <w:lvlText w:val=""/>
      <w:lvlJc w:val="left"/>
    </w:lvl>
  </w:abstractNum>
  <w:abstractNum w:abstractNumId="1">
    <w:nsid w:val="08BD5ACD"/>
    <w:multiLevelType w:val="hybridMultilevel"/>
    <w:tmpl w:val="00000000"/>
    <w:lvl w:ilvl="0" w:tplc="2F704810">
      <w:start w:val="1"/>
      <w:numFmt w:val="bullet"/>
      <w:lvlText w:val="•"/>
      <w:lvlJc w:val="left"/>
    </w:lvl>
    <w:lvl w:ilvl="1" w:tplc="0582AA6E">
      <w:start w:val="1"/>
      <w:numFmt w:val="decimal"/>
      <w:lvlText w:val=""/>
      <w:lvlJc w:val="left"/>
    </w:lvl>
    <w:lvl w:ilvl="2" w:tplc="D4429436">
      <w:start w:val="1"/>
      <w:numFmt w:val="decimal"/>
      <w:lvlText w:val=""/>
      <w:lvlJc w:val="left"/>
    </w:lvl>
    <w:lvl w:ilvl="3" w:tplc="40E4DC7E">
      <w:start w:val="1"/>
      <w:numFmt w:val="decimal"/>
      <w:lvlText w:val=""/>
      <w:lvlJc w:val="left"/>
    </w:lvl>
    <w:lvl w:ilvl="4" w:tplc="6A886B3A">
      <w:start w:val="1"/>
      <w:numFmt w:val="decimal"/>
      <w:lvlText w:val=""/>
      <w:lvlJc w:val="left"/>
    </w:lvl>
    <w:lvl w:ilvl="5" w:tplc="F1FA973C">
      <w:start w:val="1"/>
      <w:numFmt w:val="decimal"/>
      <w:lvlText w:val=""/>
      <w:lvlJc w:val="left"/>
    </w:lvl>
    <w:lvl w:ilvl="6" w:tplc="5A4EDBD8">
      <w:start w:val="1"/>
      <w:numFmt w:val="decimal"/>
      <w:lvlText w:val=""/>
      <w:lvlJc w:val="left"/>
    </w:lvl>
    <w:lvl w:ilvl="7" w:tplc="99AE4D08">
      <w:start w:val="1"/>
      <w:numFmt w:val="decimal"/>
      <w:lvlText w:val=""/>
      <w:lvlJc w:val="left"/>
    </w:lvl>
    <w:lvl w:ilvl="8" w:tplc="B0A8A2C2">
      <w:start w:val="1"/>
      <w:numFmt w:val="decimal"/>
      <w:lvlText w:val=""/>
      <w:lvlJc w:val="left"/>
    </w:lvl>
  </w:abstractNum>
  <w:abstractNum w:abstractNumId="2">
    <w:nsid w:val="1C48353C"/>
    <w:multiLevelType w:val="hybridMultilevel"/>
    <w:tmpl w:val="00000000"/>
    <w:lvl w:ilvl="0" w:tplc="3674711E">
      <w:start w:val="1"/>
      <w:numFmt w:val="bullet"/>
      <w:lvlText w:val="•"/>
      <w:lvlJc w:val="left"/>
    </w:lvl>
    <w:lvl w:ilvl="1" w:tplc="ED06BEEC">
      <w:start w:val="1"/>
      <w:numFmt w:val="decimal"/>
      <w:lvlText w:val=""/>
      <w:lvlJc w:val="left"/>
    </w:lvl>
    <w:lvl w:ilvl="2" w:tplc="0046EB02">
      <w:start w:val="1"/>
      <w:numFmt w:val="decimal"/>
      <w:lvlText w:val=""/>
      <w:lvlJc w:val="left"/>
    </w:lvl>
    <w:lvl w:ilvl="3" w:tplc="5DAAAB70">
      <w:start w:val="1"/>
      <w:numFmt w:val="decimal"/>
      <w:lvlText w:val=""/>
      <w:lvlJc w:val="left"/>
    </w:lvl>
    <w:lvl w:ilvl="4" w:tplc="6CCADD3A">
      <w:start w:val="1"/>
      <w:numFmt w:val="decimal"/>
      <w:lvlText w:val=""/>
      <w:lvlJc w:val="left"/>
    </w:lvl>
    <w:lvl w:ilvl="5" w:tplc="733A1384">
      <w:start w:val="1"/>
      <w:numFmt w:val="decimal"/>
      <w:lvlText w:val=""/>
      <w:lvlJc w:val="left"/>
    </w:lvl>
    <w:lvl w:ilvl="6" w:tplc="F7867F74">
      <w:start w:val="1"/>
      <w:numFmt w:val="decimal"/>
      <w:lvlText w:val=""/>
      <w:lvlJc w:val="left"/>
    </w:lvl>
    <w:lvl w:ilvl="7" w:tplc="1AF8FD0C">
      <w:start w:val="1"/>
      <w:numFmt w:val="decimal"/>
      <w:lvlText w:val=""/>
      <w:lvlJc w:val="left"/>
    </w:lvl>
    <w:lvl w:ilvl="8" w:tplc="4D8452F0">
      <w:start w:val="1"/>
      <w:numFmt w:val="decimal"/>
      <w:lvlText w:val=""/>
      <w:lvlJc w:val="left"/>
    </w:lvl>
  </w:abstractNum>
  <w:abstractNum w:abstractNumId="3">
    <w:nsid w:val="552C2F65"/>
    <w:multiLevelType w:val="hybridMultilevel"/>
    <w:tmpl w:val="00000000"/>
    <w:lvl w:ilvl="0" w:tplc="4EA8E638">
      <w:start w:val="1"/>
      <w:numFmt w:val="bullet"/>
      <w:lvlText w:val="•"/>
      <w:lvlJc w:val="left"/>
    </w:lvl>
    <w:lvl w:ilvl="1" w:tplc="8C32C21E">
      <w:start w:val="1"/>
      <w:numFmt w:val="decimal"/>
      <w:lvlText w:val=""/>
      <w:lvlJc w:val="left"/>
    </w:lvl>
    <w:lvl w:ilvl="2" w:tplc="AA6A14F2">
      <w:start w:val="1"/>
      <w:numFmt w:val="decimal"/>
      <w:lvlText w:val=""/>
      <w:lvlJc w:val="left"/>
    </w:lvl>
    <w:lvl w:ilvl="3" w:tplc="01569088">
      <w:start w:val="1"/>
      <w:numFmt w:val="decimal"/>
      <w:lvlText w:val=""/>
      <w:lvlJc w:val="left"/>
    </w:lvl>
    <w:lvl w:ilvl="4" w:tplc="34003566">
      <w:start w:val="1"/>
      <w:numFmt w:val="decimal"/>
      <w:lvlText w:val=""/>
      <w:lvlJc w:val="left"/>
    </w:lvl>
    <w:lvl w:ilvl="5" w:tplc="E28CD7D8">
      <w:start w:val="1"/>
      <w:numFmt w:val="decimal"/>
      <w:lvlText w:val=""/>
      <w:lvlJc w:val="left"/>
    </w:lvl>
    <w:lvl w:ilvl="6" w:tplc="1812DB36">
      <w:start w:val="1"/>
      <w:numFmt w:val="decimal"/>
      <w:lvlText w:val=""/>
      <w:lvlJc w:val="left"/>
    </w:lvl>
    <w:lvl w:ilvl="7" w:tplc="20663670">
      <w:start w:val="1"/>
      <w:numFmt w:val="decimal"/>
      <w:lvlText w:val=""/>
      <w:lvlJc w:val="left"/>
    </w:lvl>
    <w:lvl w:ilvl="8" w:tplc="BCCC5B4E">
      <w:start w:val="1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F8"/>
    <w:rsid w:val="00B91395"/>
    <w:rsid w:val="00F0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B7D21-6D36-4180-8B29-B27A5435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ba27abff14a209ba154db1aa85cc73f6134f530e18705c4458440321091b5b58110a110615425d5f094356014b4450530401195c1333471b1b11154958540d5942011503504e1c180c571833471b1b06184459580a595601514841481f0f2b561358191b195115495d0c00584e4209430247460c590858184508105042445b0c0f054e4108120211474a411b1213471b1b11144650540e5949150b10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dcterms:created xsi:type="dcterms:W3CDTF">2023-02-08T13:37:00Z</dcterms:created>
  <dcterms:modified xsi:type="dcterms:W3CDTF">2023-02-08T13:37:00Z</dcterms:modified>
</cp:coreProperties>
</file>