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rFonts w:ascii="Open Sans" w:cs="Open Sans" w:hAnsi="Open Sans"/>
          <w:color w:val="0070c0"/>
          <w:sz w:val="28"/>
          <w:vertAlign w:val="subscript"/>
          <w:lang w:val="en-US"/>
        </w:rPr>
      </w:pPr>
      <w:r>
        <w:rPr>
          <w:rFonts w:ascii="Open Sans" w:cs="Open Sans" w:hAnsi="Open Sans"/>
          <w:b/>
          <w:color w:val="0070c0"/>
          <w:sz w:val="36"/>
          <w:lang w:val="en-US"/>
        </w:rPr>
        <w:t>DIVYA</w:t>
      </w:r>
      <w:r>
        <w:rPr>
          <w:rFonts w:ascii="Open Sans" w:cs="Open Sans" w:hAnsi="Open Sans"/>
          <w:color w:val="0070c0"/>
          <w:sz w:val="36"/>
          <w:lang w:val="en-US"/>
        </w:rPr>
        <w:t xml:space="preserve"> </w:t>
      </w:r>
      <w:r>
        <w:rPr>
          <w:rFonts w:ascii="Open Sans" w:cs="Open Sans" w:hAnsi="Open Sans"/>
          <w:color w:val="0070c0"/>
          <w:sz w:val="36"/>
          <w:lang w:val="en-US"/>
        </w:rPr>
        <w:t>GEMBALI</w:t>
      </w:r>
      <w:r>
        <w:rPr>
          <w:rFonts w:ascii="Segoe UI" w:cs="Segoe UI" w:hAnsi="Segoe UI"/>
          <w:sz w:val="21"/>
          <w:szCs w:val="21"/>
          <w:shd w:val="clear" w:color="auto" w:fill="ffffff"/>
        </w:rPr>
        <w:t xml:space="preserve"> </w:t>
      </w:r>
      <w:r>
        <w:rPr>
          <w:rFonts w:ascii="Open Sans" w:cs="Open Sans" w:hAnsi="Open Sans"/>
          <w:i/>
          <w:color w:val="808080"/>
          <w:sz w:val="20"/>
          <w:szCs w:val="21"/>
          <w:shd w:val="clear" w:color="auto" w:fill="ffffff"/>
        </w:rPr>
        <w:t xml:space="preserve">- </w:t>
      </w:r>
      <w:r>
        <w:rPr>
          <w:rFonts w:ascii="Open Sans" w:cs="Open Sans" w:hAnsi="Open Sans"/>
          <w:i/>
          <w:color w:val="808080"/>
          <w:sz w:val="16"/>
          <w:szCs w:val="21"/>
          <w:shd w:val="clear" w:color="auto" w:fill="ffffff"/>
        </w:rPr>
        <w:t>Firmly believes in "Given enough cycles, there is not an insurmountable challenge".</w:t>
      </w:r>
    </w:p>
    <w:p>
      <w:pPr>
        <w:pStyle w:val="style0"/>
        <w:spacing w:after="0" w:lineRule="auto" w:line="240"/>
        <w:rPr>
          <w:color w:val="548dd4"/>
          <w:sz w:val="18"/>
          <w:szCs w:val="18"/>
        </w:rPr>
      </w:pPr>
    </w:p>
    <w:p>
      <w:pPr>
        <w:pStyle w:val="style0"/>
        <w:spacing w:after="0" w:lineRule="auto" w:line="240"/>
        <w:rPr>
          <w:rFonts w:ascii="Open Sans" w:cs="Open Sans" w:hAnsi="Open Sans"/>
          <w:color w:val="548dd4"/>
          <w:sz w:val="18"/>
          <w:szCs w:val="18"/>
          <w:lang w:val="en-US"/>
        </w:rPr>
      </w:pPr>
      <w:r>
        <w:rPr>
          <w:color w:val="548dd4"/>
          <w:sz w:val="18"/>
          <w:szCs w:val="18"/>
        </w:rPr>
        <w:drawing>
          <wp:inline distL="0" distT="0" distB="0" distR="0">
            <wp:extent cx="161925" cy="161925"/>
            <wp:effectExtent l="0" t="0" r="0" b="0"/>
            <wp:docPr id="1026" name="Image1" descr="Description: C:\Users\Santosh Vysyaraju\Downloads\icons8-number-pad-4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61925" cy="161925"/>
                    </a:xfrm>
                    <a:prstGeom prst="rect"/>
                  </pic:spPr>
                </pic:pic>
              </a:graphicData>
            </a:graphic>
          </wp:inline>
        </w:drawing>
      </w:r>
      <w:r>
        <w:rPr>
          <w:rFonts w:ascii="Open Sans" w:cs="Open Sans" w:hAnsi="Open Sans"/>
          <w:color w:val="548dd4"/>
          <w:sz w:val="18"/>
          <w:szCs w:val="18"/>
          <w:lang w:val="en-US"/>
        </w:rPr>
        <w:t xml:space="preserve"> </w:t>
      </w:r>
      <w:r>
        <w:rPr>
          <w:rFonts w:ascii="Open Sans" w:cs="Open Sans" w:hAnsi="Open Sans"/>
          <w:color w:val="548dd4"/>
          <w:sz w:val="18"/>
          <w:szCs w:val="18"/>
          <w:lang w:val="en-US"/>
        </w:rPr>
        <w:t>8939123517</w:t>
      </w:r>
      <w:r>
        <w:rPr>
          <w:rFonts w:ascii="Open Sans" w:cs="Open Sans" w:hAnsi="Open Sans"/>
          <w:color w:val="548dd4"/>
          <w:sz w:val="18"/>
          <w:szCs w:val="18"/>
          <w:lang w:val="en-US"/>
        </w:rPr>
        <w:t xml:space="preserve">/ </w:t>
      </w:r>
      <w:r>
        <w:rPr>
          <w:rFonts w:ascii="Open Sans" w:cs="Open Sans" w:hAnsi="Open Sans"/>
          <w:color w:val="548dd4"/>
          <w:sz w:val="18"/>
          <w:szCs w:val="18"/>
          <w:lang w:val="en-US"/>
        </w:rPr>
        <w:t>9347013758</w:t>
      </w:r>
    </w:p>
    <w:p>
      <w:pPr>
        <w:pStyle w:val="style0"/>
        <w:spacing w:after="0" w:lineRule="auto" w:line="240"/>
        <w:rPr>
          <w:rFonts w:ascii="Open Sans" w:cs="Open Sans" w:hAnsi="Open Sans"/>
          <w:color w:val="548dd4"/>
          <w:sz w:val="18"/>
          <w:szCs w:val="18"/>
          <w:lang w:val="en-US"/>
        </w:rPr>
      </w:pPr>
      <w:r>
        <w:rPr>
          <w:color w:val="548dd4"/>
          <w:sz w:val="18"/>
          <w:szCs w:val="18"/>
        </w:rPr>
        <w:drawing>
          <wp:inline distL="0" distT="0" distB="0" distR="0">
            <wp:extent cx="171450" cy="171450"/>
            <wp:effectExtent l="0" t="0" r="0" b="0"/>
            <wp:docPr id="1027" name="Image1" descr="Description: C:\Users\Santosh Vysyaraju\Downloads\icons8-email-4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171450" cy="171450"/>
                    </a:xfrm>
                    <a:prstGeom prst="rect"/>
                  </pic:spPr>
                </pic:pic>
              </a:graphicData>
            </a:graphic>
          </wp:inline>
        </w:drawing>
      </w:r>
      <w:r>
        <w:rPr>
          <w:rFonts w:ascii="Open Sans" w:cs="Open Sans" w:hAnsi="Open Sans"/>
          <w:color w:val="548dd4"/>
          <w:sz w:val="18"/>
          <w:szCs w:val="18"/>
          <w:lang w:val="en-US"/>
        </w:rPr>
        <w:t xml:space="preserve"> </w:t>
      </w:r>
      <w:r>
        <w:rPr/>
        <w:fldChar w:fldCharType="begin"/>
      </w:r>
      <w:r>
        <w:instrText xml:space="preserve"> HYPERLINK "mailto:svysyara@gmail.com" </w:instrText>
      </w:r>
      <w:r>
        <w:rPr/>
        <w:fldChar w:fldCharType="separate"/>
      </w:r>
      <w:r>
        <w:rPr>
          <w:rStyle w:val="style85"/>
          <w:rFonts w:ascii="Open Sans" w:cs="Open Sans" w:hAnsi="Open Sans"/>
          <w:color w:val="548dd4"/>
          <w:sz w:val="18"/>
          <w:szCs w:val="18"/>
          <w:u w:val="none"/>
          <w:lang w:val="en-US"/>
        </w:rPr>
        <w:t>divya.gembali</w:t>
      </w:r>
      <w:r>
        <w:rPr>
          <w:rStyle w:val="style85"/>
          <w:rFonts w:ascii="Open Sans" w:cs="Open Sans" w:hAnsi="Open Sans"/>
          <w:color w:val="548dd4"/>
          <w:sz w:val="18"/>
          <w:szCs w:val="18"/>
          <w:u w:val="none"/>
          <w:lang w:val="en-US"/>
        </w:rPr>
        <w:t>@gmail.com</w:t>
      </w:r>
      <w:r>
        <w:rPr/>
        <w:fldChar w:fldCharType="end"/>
      </w:r>
      <w:r>
        <w:rPr>
          <w:rFonts w:ascii="Open Sans" w:cs="Open Sans" w:hAnsi="Open Sans"/>
          <w:color w:val="548dd4"/>
          <w:sz w:val="18"/>
          <w:szCs w:val="18"/>
          <w:lang w:val="en-US"/>
        </w:rPr>
        <w:t xml:space="preserve"> </w:t>
      </w:r>
    </w:p>
    <w:p>
      <w:pPr>
        <w:pStyle w:val="style0"/>
        <w:spacing w:after="0" w:lineRule="auto" w:line="240"/>
        <w:rPr>
          <w:rFonts w:ascii="Open Sans" w:cs="Open Sans" w:hAnsi="Open Sans"/>
          <w:color w:val="000000"/>
          <w:lang w:val="en-US"/>
        </w:rPr>
      </w:pPr>
    </w:p>
    <w:p>
      <w:pPr>
        <w:pStyle w:val="style4098"/>
        <w:spacing w:lineRule="auto" w:line="276"/>
        <w:jc w:val="both"/>
        <w:rPr>
          <w:rFonts w:ascii="Open Sans" w:cs="Open Sans" w:eastAsia="Calibri" w:hAnsi="Open Sans"/>
          <w:color w:val="000000"/>
          <w:spacing w:val="0"/>
          <w:sz w:val="20"/>
          <w:szCs w:val="22"/>
        </w:rPr>
      </w:pPr>
      <w:r>
        <w:rPr>
          <w:rFonts w:ascii="Open Sans" w:cs="Open Sans" w:eastAsia="Calibri" w:hAnsi="Open Sans"/>
          <w:color w:val="000000"/>
          <w:spacing w:val="0"/>
          <w:sz w:val="20"/>
          <w:szCs w:val="22"/>
        </w:rPr>
        <w:t>Motivated and highly professional with a wide spectrum of experience and exposure. Work</w:t>
      </w:r>
      <w:r>
        <w:rPr>
          <w:rFonts w:ascii="Open Sans" w:cs="Open Sans" w:eastAsia="Calibri" w:hAnsi="Open Sans"/>
          <w:color w:val="000000"/>
          <w:spacing w:val="0"/>
          <w:sz w:val="20"/>
          <w:szCs w:val="22"/>
        </w:rPr>
        <w:t>s</w:t>
      </w:r>
      <w:r>
        <w:rPr>
          <w:rFonts w:ascii="Open Sans" w:cs="Open Sans" w:eastAsia="Calibri" w:hAnsi="Open Sans"/>
          <w:color w:val="000000"/>
          <w:spacing w:val="0"/>
          <w:sz w:val="20"/>
          <w:szCs w:val="22"/>
        </w:rPr>
        <w:t xml:space="preserve"> to bring a dynamic and versatile portfolio of skills at work place and to serve the organization with positive attitude and efficiency.</w:t>
      </w:r>
    </w:p>
    <w:p>
      <w:pPr>
        <w:pStyle w:val="style0"/>
        <w:spacing w:after="0" w:lineRule="auto" w:line="240"/>
        <w:jc w:val="both"/>
        <w:rPr>
          <w:rFonts w:ascii="Open Sans" w:cs="Open Sans" w:hAnsi="Open Sans"/>
          <w:color w:val="000000"/>
          <w:lang w:val="en-US"/>
        </w:rPr>
      </w:pPr>
      <w:r>
        <w:rPr>
          <w:rFonts w:ascii="Open Sans" w:cs="Open Sans" w:hAnsi="Open Sans"/>
          <w:noProof/>
          <w:color w:val="000000"/>
          <w:lang w:eastAsia="en-IN"/>
        </w:rPr>
        <mc:AlternateContent>
          <mc:Choice Requires="wps">
            <w:drawing>
              <wp:anchor distT="0" distB="0" distL="0" distR="0" simplePos="false" relativeHeight="2" behindDoc="false" locked="false" layoutInCell="true" allowOverlap="true">
                <wp:simplePos x="0" y="0"/>
                <wp:positionH relativeFrom="column">
                  <wp:posOffset>40005</wp:posOffset>
                </wp:positionH>
                <wp:positionV relativeFrom="paragraph">
                  <wp:posOffset>69850</wp:posOffset>
                </wp:positionV>
                <wp:extent cx="6858000" cy="0"/>
                <wp:effectExtent l="0" t="0" r="19050" b="19050"/>
                <wp:wrapNone/>
                <wp:docPr id="1028" name="Straight Connector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58000" cy="0"/>
                        </a:xfrm>
                        <a:prstGeom prst="line"/>
                        <a:ln cmpd="sng" cap="flat" w="9525">
                          <a:solidFill>
                            <a:srgbClr val="4a7dba"/>
                          </a:solidFill>
                          <a:prstDash val="solid"/>
                          <a:round/>
                          <a:headEnd len="med" w="med" type="none"/>
                          <a:tailEnd len="med" w="med" type="none"/>
                        </a:ln>
                      </wps:spPr>
                      <wps:bodyPr>
                        <a:prstTxWarp prst="textNoShape"/>
                      </wps:bodyPr>
                    </wps:wsp>
                  </a:graphicData>
                </a:graphic>
              </wp:anchor>
            </w:drawing>
          </mc:Choice>
          <mc:Fallback>
            <w:pict>
              <v:line id="1028" filled="f" stroked="t" from="3.1499999pt,5.5pt" to="543.15pt,5.5pt" style="position:absolute;z-index:2;mso-position-horizontal-relative:text;mso-position-vertical-relative:text;mso-width-relative:page;mso-height-relative:page;mso-wrap-distance-left:0.0pt;mso-wrap-distance-right:0.0pt;visibility:visible;">
                <v:stroke color="#4a7dba"/>
                <v:fill/>
              </v:line>
            </w:pict>
          </mc:Fallback>
        </mc:AlternateContent>
      </w:r>
    </w:p>
    <w:p>
      <w:pPr>
        <w:pStyle w:val="style0"/>
        <w:spacing w:after="0"/>
        <w:ind w:left="1440"/>
        <w:jc w:val="both"/>
        <w:rPr>
          <w:rFonts w:ascii="Open Sans" w:cs="Open Sans" w:hAnsi="Open Sans"/>
          <w:color w:val="000000"/>
          <w:sz w:val="20"/>
          <w:lang w:val="en-US"/>
        </w:rPr>
      </w:pPr>
    </w:p>
    <w:p>
      <w:pPr>
        <w:pStyle w:val="style0"/>
        <w:spacing w:after="0"/>
        <w:jc w:val="both"/>
        <w:rPr>
          <w:rFonts w:ascii="Open Sans" w:cs="Open Sans" w:hAnsi="Open Sans"/>
          <w:b/>
          <w:color w:val="000000"/>
          <w:lang w:val="en-US"/>
        </w:rPr>
      </w:pPr>
      <w:r>
        <w:rPr>
          <w:rFonts w:ascii="Open Sans" w:cs="Open Sans" w:hAnsi="Open Sans"/>
          <w:b/>
          <w:color w:val="000000"/>
          <w:lang w:val="en-US"/>
        </w:rPr>
        <w:t>Work Experience:</w:t>
      </w:r>
    </w:p>
    <w:p>
      <w:pPr>
        <w:pStyle w:val="style2"/>
        <w:ind w:left="720"/>
        <w:jc w:val="both"/>
        <w:contextualSpacing w:val="false"/>
        <w:rPr>
          <w:rFonts w:ascii="Open Sans" w:cs="Open Sans" w:hAnsi="Open Sans"/>
          <w:b w:val="false"/>
          <w:color w:val="595959"/>
          <w:sz w:val="22"/>
          <w:szCs w:val="24"/>
        </w:rPr>
      </w:pPr>
      <w:r>
        <w:rPr>
          <w:rFonts w:ascii="Open Sans" w:cs="Open Sans" w:hAnsi="Open Sans"/>
          <w:b w:val="false"/>
          <w:color w:val="0070c0"/>
          <w:sz w:val="22"/>
          <w:szCs w:val="24"/>
        </w:rPr>
        <w:t>Partner &amp; Audit Manager</w:t>
      </w:r>
      <w:r>
        <w:rPr>
          <w:rFonts w:ascii="Open Sans" w:cs="Open Sans" w:hAnsi="Open Sans"/>
          <w:color w:val="0070c0"/>
          <w:sz w:val="22"/>
          <w:szCs w:val="24"/>
        </w:rPr>
        <w:t xml:space="preserve"> /</w:t>
      </w:r>
      <w:r>
        <w:rPr>
          <w:rFonts w:ascii="Open Sans" w:cs="Open Sans" w:hAnsi="Open Sans"/>
          <w:sz w:val="22"/>
          <w:szCs w:val="24"/>
        </w:rPr>
        <w:t xml:space="preserve"> </w:t>
      </w:r>
      <w:r>
        <w:rPr>
          <w:rFonts w:ascii="Open Sans" w:cs="Open Sans" w:hAnsi="Open Sans"/>
          <w:b w:val="false"/>
          <w:color w:val="595959"/>
          <w:sz w:val="22"/>
          <w:szCs w:val="24"/>
        </w:rPr>
        <w:t>Bharati &amp; Co.,</w:t>
      </w:r>
    </w:p>
    <w:p>
      <w:pPr>
        <w:pStyle w:val="style3"/>
        <w:ind w:left="720"/>
        <w:jc w:val="both"/>
        <w:contextualSpacing w:val="false"/>
        <w:rPr>
          <w:rFonts w:ascii="Open Sans" w:cs="Open Sans" w:hAnsi="Open Sans"/>
          <w:sz w:val="18"/>
        </w:rPr>
      </w:pPr>
      <w:r>
        <w:rPr>
          <w:rFonts w:ascii="Open Sans" w:cs="Open Sans" w:hAnsi="Open Sans"/>
          <w:sz w:val="18"/>
        </w:rPr>
        <w:t>J</w:t>
      </w:r>
      <w:r>
        <w:rPr>
          <w:rFonts w:ascii="Open Sans" w:cs="Open Sans" w:hAnsi="Open Sans"/>
          <w:sz w:val="18"/>
        </w:rPr>
        <w:t>an</w:t>
      </w:r>
      <w:r>
        <w:rPr>
          <w:rFonts w:ascii="Open Sans" w:cs="Open Sans" w:hAnsi="Open Sans"/>
          <w:sz w:val="18"/>
        </w:rPr>
        <w:t xml:space="preserve"> 201</w:t>
      </w:r>
      <w:r>
        <w:rPr>
          <w:rFonts w:ascii="Open Sans" w:cs="Open Sans" w:hAnsi="Open Sans"/>
          <w:sz w:val="18"/>
        </w:rPr>
        <w:t>7</w:t>
      </w:r>
      <w:r>
        <w:rPr>
          <w:rFonts w:ascii="Open Sans" w:cs="Open Sans" w:hAnsi="Open Sans"/>
          <w:sz w:val="18"/>
        </w:rPr>
        <w:t xml:space="preserve"> – </w:t>
      </w:r>
      <w:r>
        <w:rPr>
          <w:rFonts w:ascii="Open Sans" w:cs="Open Sans" w:hAnsi="Open Sans"/>
          <w:sz w:val="18"/>
        </w:rPr>
        <w:t>July 2020</w:t>
      </w:r>
    </w:p>
    <w:p>
      <w:pPr>
        <w:pStyle w:val="style0"/>
        <w:spacing w:lineRule="auto" w:line="240"/>
        <w:ind w:firstLine="720"/>
        <w:rPr>
          <w:b/>
          <w:lang w:val="en-US"/>
        </w:rPr>
      </w:pPr>
      <w:r>
        <w:rPr>
          <w:b/>
          <w:lang w:val="en-US"/>
        </w:rPr>
        <w:t>Key Responsibilities: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Preparation and presentation of Financial Statements in accordance with Schedule III of The Companies Act, 2013.</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 xml:space="preserve">Conducting Tax Audits of Companies, Partnership Firms and various other concerns. </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Filing of Income Tax, TDS</w:t>
      </w:r>
      <w:r>
        <w:rPr>
          <w:rFonts w:cs="Open Sans" w:hAnsi="Open Sans"/>
          <w:color w:val="000000"/>
          <w:sz w:val="20"/>
          <w:lang w:val="en-US"/>
        </w:rPr>
        <w:t xml:space="preserve"> and</w:t>
      </w:r>
      <w:r>
        <w:rPr>
          <w:rFonts w:ascii="Open Sans" w:cs="Open Sans" w:hAnsi="Open Sans"/>
          <w:color w:val="000000"/>
          <w:sz w:val="20"/>
          <w:lang w:val="en-US"/>
        </w:rPr>
        <w:t xml:space="preserve"> GST Returns on timely basis.</w:t>
      </w:r>
    </w:p>
    <w:p>
      <w:pPr>
        <w:pStyle w:val="style179"/>
        <w:numPr>
          <w:ilvl w:val="0"/>
          <w:numId w:val="2"/>
        </w:numPr>
        <w:spacing w:after="0" w:lineRule="auto" w:line="240"/>
        <w:jc w:val="both"/>
        <w:rPr>
          <w:rFonts w:cs="Open Sans" w:hAnsi="Open Sans"/>
          <w:color w:val="000000"/>
          <w:sz w:val="20"/>
          <w:lang w:val="en-US"/>
        </w:rPr>
      </w:pPr>
      <w:r>
        <w:rPr>
          <w:rFonts w:cs="Open Sans" w:hAnsi="Open Sans"/>
          <w:color w:val="000000"/>
          <w:sz w:val="20"/>
          <w:lang w:val="en-US"/>
        </w:rPr>
        <w:t xml:space="preserve">Handling accounting and related system reports for accuracy and completeness to include auditing master records and transactional data. </w:t>
      </w:r>
    </w:p>
    <w:p>
      <w:pPr>
        <w:pStyle w:val="style179"/>
        <w:numPr>
          <w:ilvl w:val="0"/>
          <w:numId w:val="2"/>
        </w:numPr>
        <w:spacing w:after="0" w:lineRule="auto" w:line="240"/>
        <w:jc w:val="both"/>
        <w:rPr>
          <w:rFonts w:ascii="Open Sans" w:cs="Open Sans" w:hAnsi="Open Sans"/>
          <w:color w:val="000000"/>
          <w:sz w:val="20"/>
          <w:lang w:val="en-US"/>
        </w:rPr>
      </w:pPr>
      <w:r>
        <w:rPr>
          <w:rFonts w:cs="Open Sans" w:hAnsi="Open Sans"/>
          <w:color w:val="000000"/>
          <w:sz w:val="20"/>
          <w:lang w:val="en-US"/>
        </w:rPr>
        <w:t>Executing accounting data to internal tax personnel as necessary for corporate income tax filings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Developing bank reconciliations, intra-company reconciliations, and other month-end general ledger reconciliations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 xml:space="preserve">Managing journal entries and ensure proper general ledger </w:t>
      </w:r>
      <w:r>
        <w:rPr>
          <w:rFonts w:cs="Open Sans" w:hAnsi="Open Sans"/>
          <w:color w:val="000000"/>
          <w:sz w:val="20"/>
          <w:lang w:val="en-US"/>
        </w:rPr>
        <w:t>postings in</w:t>
      </w:r>
      <w:r>
        <w:rPr>
          <w:rFonts w:ascii="Open Sans" w:cs="Open Sans" w:hAnsi="Open Sans"/>
          <w:color w:val="000000"/>
          <w:sz w:val="20"/>
          <w:lang w:val="en-US"/>
        </w:rPr>
        <w:t xml:space="preserve"> support of monthly closings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Attending to Income tax scrutiny assessments and replying to the questionnaires.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Business advisory services to various clients with regard to Income Tax, Company Law and Other Matters.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 xml:space="preserve">Handling various other kind of Audits viz Internal, Statutory and Stock Audits for various companies and other Proprietary &amp; Partnership firms. </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 xml:space="preserve">Audit Planning, Assignment and execution of various audits on timely basis. </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b/>
          <w:bCs/>
          <w:color w:val="000000"/>
          <w:sz w:val="20"/>
          <w:lang w:val="en-US"/>
        </w:rPr>
        <w:t>Stock Audits, Concurrent Audits, Statutory Audits and Information Systems Audits for both Private and Public Sector Banks</w:t>
      </w:r>
      <w:r>
        <w:rPr>
          <w:rFonts w:cs="Open Sans" w:hAnsi="Open Sans"/>
          <w:b/>
          <w:bCs/>
          <w:color w:val="000000"/>
          <w:sz w:val="20"/>
          <w:lang w:val="en-US"/>
        </w:rPr>
        <w:t xml:space="preserve"> and also NBFC</w:t>
      </w:r>
      <w:r>
        <w:rPr>
          <w:rFonts w:cs="Open Sans" w:hAnsi="Open Sans"/>
          <w:color w:val="000000"/>
          <w:sz w:val="20"/>
          <w:lang w:val="en-US"/>
        </w:rPr>
        <w:t xml:space="preserve">s. </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b/>
          <w:bCs/>
          <w:color w:val="000000"/>
          <w:sz w:val="20"/>
          <w:lang w:val="en-US"/>
        </w:rPr>
        <w:t>Verification</w:t>
      </w:r>
      <w:r>
        <w:rPr>
          <w:rFonts w:cs="Open Sans" w:hAnsi="Open Sans"/>
          <w:b/>
          <w:bCs/>
          <w:color w:val="000000"/>
          <w:sz w:val="20"/>
          <w:lang w:val="en-US"/>
        </w:rPr>
        <w:t xml:space="preserve"> of Loan documentation and also the rechecking of the appraisal process</w:t>
      </w:r>
      <w:r>
        <w:rPr>
          <w:rFonts w:ascii="Open Sans" w:cs="Open Sans" w:hAnsi="Open Sans"/>
          <w:b/>
          <w:bCs/>
          <w:color w:val="000000"/>
          <w:sz w:val="20"/>
          <w:lang w:val="en-US"/>
        </w:rPr>
        <w:t xml:space="preserve"> </w:t>
      </w:r>
      <w:r>
        <w:rPr>
          <w:rFonts w:cs="Open Sans" w:hAnsi="Open Sans"/>
          <w:b/>
          <w:bCs/>
          <w:color w:val="000000"/>
          <w:sz w:val="20"/>
          <w:lang w:val="en-US"/>
        </w:rPr>
        <w:t>of both fund and non-fund based loans viz. Corporate loans, Housing loans, Bank Guarantees and other projec</w:t>
      </w:r>
      <w:r>
        <w:rPr>
          <w:rFonts w:cs="Open Sans" w:hAnsi="Open Sans"/>
          <w:color w:val="000000"/>
          <w:sz w:val="20"/>
          <w:lang w:val="en-US"/>
        </w:rPr>
        <w:t xml:space="preserve">t, term loans etc., </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Submission of various reports/certificates as and when required by the Banks or any other organizations viz. Companies, LLPs etc., on timely basis.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Conducting seminars and Awareness programmes to the trainees on latest changes and amendments.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Peer review of the work performed by others.</w:t>
      </w:r>
    </w:p>
    <w:p>
      <w:pPr>
        <w:pStyle w:val="style179"/>
        <w:numPr>
          <w:ilvl w:val="0"/>
          <w:numId w:val="2"/>
        </w:numPr>
        <w:adjustRightInd w:val="false"/>
        <w:spacing w:after="0"/>
        <w:jc w:val="both"/>
        <w:rPr>
          <w:rFonts w:ascii="Open Sans" w:cs="Open Sans" w:hAnsi="Open Sans"/>
          <w:color w:val="000000"/>
          <w:sz w:val="20"/>
          <w:lang w:val="en-US"/>
        </w:rPr>
      </w:pPr>
      <w:r>
        <w:rPr>
          <w:rFonts w:ascii="Open Sans" w:cs="Open Sans" w:hAnsi="Open Sans"/>
          <w:color w:val="000000"/>
          <w:sz w:val="20"/>
          <w:lang w:val="en-US"/>
        </w:rPr>
        <w:t>MIS Reporting and complying with internal control policies with regard to process.</w:t>
      </w:r>
    </w:p>
    <w:p>
      <w:pPr>
        <w:pStyle w:val="style0"/>
        <w:rPr>
          <w:lang w:val="en-US"/>
        </w:rPr>
      </w:pPr>
    </w:p>
    <w:p>
      <w:pPr>
        <w:pStyle w:val="style3"/>
        <w:ind w:left="720"/>
        <w:jc w:val="both"/>
        <w:contextualSpacing w:val="false"/>
        <w:rPr>
          <w:sz w:val="20"/>
        </w:rPr>
      </w:pPr>
      <w:r>
        <w:rPr>
          <w:rFonts w:ascii="Open Sans" w:cs="Open Sans" w:eastAsia="Rockwell" w:hAnsi="Open Sans"/>
          <w:smallCaps w:val="false"/>
          <w:color w:val="0070c0"/>
          <w:szCs w:val="24"/>
        </w:rPr>
        <w:t>Financial Analyst</w:t>
      </w:r>
      <w:r>
        <w:rPr>
          <w:rFonts w:ascii="Open Sans" w:cs="Open Sans" w:eastAsia="Rockwell" w:hAnsi="Open Sans"/>
          <w:smallCaps w:val="false"/>
          <w:color w:val="0070c0"/>
          <w:szCs w:val="24"/>
        </w:rPr>
        <w:t xml:space="preserve"> /</w:t>
      </w:r>
      <w:r>
        <w:rPr>
          <w:rFonts w:ascii="Open Sans" w:cs="Open Sans" w:hAnsi="Open Sans"/>
          <w:szCs w:val="24"/>
        </w:rPr>
        <w:t xml:space="preserve"> </w:t>
      </w:r>
      <w:r>
        <w:rPr>
          <w:rFonts w:ascii="Open Sans" w:cs="Open Sans" w:eastAsia="Rockwell" w:hAnsi="Open Sans"/>
          <w:smallCaps w:val="false"/>
          <w:szCs w:val="24"/>
        </w:rPr>
        <w:t>Merrill Technology Services India Pvt Ltd.</w:t>
      </w:r>
      <w:r>
        <w:rPr>
          <w:rFonts w:cs="Open Sans" w:eastAsia="Rockwell" w:hAnsi="Open Sans"/>
          <w:smallCaps w:val="false"/>
          <w:szCs w:val="24"/>
          <w:lang w:val="en-US"/>
        </w:rPr>
        <w:t xml:space="preserve">, </w:t>
      </w:r>
    </w:p>
    <w:p>
      <w:pPr>
        <w:pStyle w:val="style3"/>
        <w:ind w:left="720"/>
        <w:jc w:val="both"/>
        <w:contextualSpacing w:val="false"/>
        <w:rPr>
          <w:rFonts w:ascii="Open Sans" w:cs="Open Sans" w:hAnsi="Open Sans"/>
          <w:sz w:val="18"/>
        </w:rPr>
      </w:pPr>
      <w:r>
        <w:rPr>
          <w:rFonts w:ascii="Open Sans" w:cs="Open Sans" w:hAnsi="Open Sans"/>
          <w:sz w:val="18"/>
        </w:rPr>
        <w:t>December</w:t>
      </w:r>
      <w:r>
        <w:rPr>
          <w:rFonts w:ascii="Open Sans" w:cs="Open Sans" w:hAnsi="Open Sans"/>
          <w:sz w:val="18"/>
        </w:rPr>
        <w:t xml:space="preserve"> 201</w:t>
      </w:r>
      <w:r>
        <w:rPr>
          <w:rFonts w:ascii="Open Sans" w:cs="Open Sans" w:hAnsi="Open Sans"/>
          <w:sz w:val="18"/>
        </w:rPr>
        <w:t>4</w:t>
      </w:r>
      <w:r>
        <w:rPr>
          <w:rFonts w:ascii="Open Sans" w:cs="Open Sans" w:hAnsi="Open Sans"/>
          <w:sz w:val="18"/>
        </w:rPr>
        <w:t xml:space="preserve"> – </w:t>
      </w:r>
      <w:r>
        <w:rPr>
          <w:rFonts w:ascii="Open Sans" w:cs="Open Sans" w:hAnsi="Open Sans"/>
          <w:sz w:val="18"/>
        </w:rPr>
        <w:t>November</w:t>
      </w:r>
      <w:r>
        <w:rPr>
          <w:rFonts w:ascii="Open Sans" w:cs="Open Sans" w:hAnsi="Open Sans"/>
          <w:sz w:val="18"/>
        </w:rPr>
        <w:t xml:space="preserve"> 201</w:t>
      </w:r>
      <w:r>
        <w:rPr>
          <w:rFonts w:ascii="Open Sans" w:cs="Open Sans" w:hAnsi="Open Sans"/>
          <w:sz w:val="18"/>
        </w:rPr>
        <w:t>6</w:t>
      </w:r>
    </w:p>
    <w:p>
      <w:pPr>
        <w:pStyle w:val="style0"/>
        <w:spacing w:lineRule="auto" w:line="240"/>
        <w:ind w:firstLine="720"/>
        <w:rPr>
          <w:b/>
          <w:lang w:val="en-US"/>
        </w:rPr>
      </w:pPr>
      <w:r>
        <w:rPr>
          <w:b/>
          <w:lang w:val="en-US"/>
        </w:rPr>
        <w:t xml:space="preserve">Key </w:t>
      </w:r>
      <w:r>
        <w:rPr>
          <w:b/>
          <w:lang w:val="en-US"/>
        </w:rPr>
        <w:t>Responsibilities: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Preparation of Quarterly/Annual Financial Statements and Notes to Financial Statements.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 xml:space="preserve">Preparation </w:t>
      </w:r>
      <w:r>
        <w:rPr>
          <w:rFonts w:cs="Open Sans" w:hAnsi="Open Sans"/>
          <w:color w:val="000000"/>
          <w:sz w:val="20"/>
          <w:lang w:val="en-US"/>
        </w:rPr>
        <w:t>and Posting of the general ledger entries and</w:t>
      </w:r>
      <w:r>
        <w:rPr>
          <w:rFonts w:ascii="Open Sans" w:cs="Open Sans" w:hAnsi="Open Sans"/>
          <w:color w:val="000000"/>
          <w:sz w:val="20"/>
          <w:lang w:val="en-US"/>
        </w:rPr>
        <w:t xml:space="preserve"> Variance analysis reports</w:t>
      </w:r>
      <w:r>
        <w:rPr>
          <w:rFonts w:cs="Open Sans" w:hAnsi="Open Sans"/>
          <w:color w:val="000000"/>
          <w:sz w:val="20"/>
          <w:lang w:val="en-US"/>
        </w:rPr>
        <w:t xml:space="preserve"> for</w:t>
      </w:r>
      <w:r>
        <w:rPr>
          <w:rFonts w:ascii="Open Sans" w:cs="Open Sans" w:hAnsi="Open Sans"/>
          <w:color w:val="000000"/>
          <w:sz w:val="20"/>
          <w:lang w:val="en-US"/>
        </w:rPr>
        <w:t xml:space="preserve"> finalizing and</w:t>
      </w:r>
      <w:r>
        <w:rPr>
          <w:rFonts w:cs="Open Sans" w:hAnsi="Open Sans"/>
          <w:color w:val="000000"/>
          <w:sz w:val="20"/>
          <w:lang w:val="en-US"/>
        </w:rPr>
        <w:t xml:space="preserve"> month end closing</w:t>
      </w:r>
      <w:r>
        <w:rPr>
          <w:rFonts w:ascii="Open Sans" w:cs="Open Sans" w:hAnsi="Open Sans"/>
          <w:color w:val="000000"/>
          <w:sz w:val="20"/>
          <w:lang w:val="en-US"/>
        </w:rPr>
        <w:t xml:space="preserve"> of the accounts.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Working on disclosures and preparation of related workings and schedules by following US GAAP and IFRS as a reference of Accounting Standard Codification (ASC) and FASB. Reviewing the disclosures to ensure the compliance as per the SEC requirements and also as within client-stated guidelines.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Assisting in Securities Exchange Commission (SEC) regulatory filings for 10Q, 10K and Initial Public Offerings (IPO) for various different clients.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Troubleshooting the validation errors arising in tool and peer review of the work performed by other team members.</w:t>
      </w:r>
    </w:p>
    <w:p>
      <w:pPr>
        <w:pStyle w:val="style179"/>
        <w:numPr>
          <w:ilvl w:val="0"/>
          <w:numId w:val="2"/>
        </w:numPr>
        <w:spacing w:after="0" w:lineRule="auto" w:line="240"/>
        <w:jc w:val="both"/>
        <w:rPr>
          <w:rFonts w:ascii="Open Sans" w:cs="Open Sans" w:hAnsi="Open Sans"/>
          <w:color w:val="000000"/>
          <w:sz w:val="20"/>
          <w:lang w:val="en-US"/>
        </w:rPr>
      </w:pPr>
      <w:r>
        <w:rPr>
          <w:rFonts w:cs="Open Sans" w:hAnsi="Open Sans"/>
          <w:color w:val="000000"/>
          <w:sz w:val="20"/>
          <w:lang w:val="en-US"/>
        </w:rPr>
        <w:t>Identifying the variance analysis of AP</w:t>
      </w:r>
      <w:r>
        <w:rPr>
          <w:rFonts w:ascii="Open Sans" w:cs="Open Sans" w:hAnsi="Open Sans"/>
          <w:color w:val="000000"/>
          <w:sz w:val="20"/>
          <w:lang w:val="en-US"/>
        </w:rPr>
        <w:t xml:space="preserve"> and AR for some clients</w:t>
      </w:r>
      <w:r>
        <w:rPr>
          <w:rFonts w:cs="Open Sans" w:hAnsi="Open Sans"/>
          <w:color w:val="000000"/>
          <w:sz w:val="20"/>
          <w:lang w:val="en-US"/>
        </w:rPr>
        <w:t xml:space="preserve"> and the reconciliation process, as required by the client</w:t>
      </w:r>
    </w:p>
    <w:p>
      <w:pPr>
        <w:pStyle w:val="style179"/>
        <w:numPr>
          <w:ilvl w:val="0"/>
          <w:numId w:val="2"/>
        </w:numPr>
        <w:spacing w:after="0" w:lineRule="auto" w:line="240"/>
        <w:jc w:val="both"/>
        <w:rPr>
          <w:rFonts w:ascii="Open Sans" w:cs="Open Sans" w:hAnsi="Open Sans"/>
          <w:color w:val="000000"/>
          <w:sz w:val="20"/>
          <w:lang w:val="en-US"/>
        </w:rPr>
      </w:pPr>
      <w:r>
        <w:rPr>
          <w:rFonts w:cs="Open Sans" w:hAnsi="Open Sans"/>
          <w:color w:val="000000"/>
          <w:sz w:val="20"/>
          <w:lang w:val="en-US"/>
        </w:rPr>
        <w:t>Preparation</w:t>
      </w:r>
      <w:r>
        <w:rPr>
          <w:rFonts w:ascii="Open Sans" w:cs="Open Sans" w:hAnsi="Open Sans"/>
          <w:color w:val="000000"/>
          <w:sz w:val="20"/>
          <w:lang w:val="en-US"/>
        </w:rPr>
        <w:t xml:space="preserve"> of </w:t>
      </w:r>
      <w:r>
        <w:rPr>
          <w:rFonts w:cs="Open Sans" w:hAnsi="Open Sans"/>
          <w:color w:val="000000"/>
          <w:sz w:val="20"/>
          <w:lang w:val="en-US"/>
        </w:rPr>
        <w:t>Bank Reconciliation statement (BRS)</w:t>
      </w:r>
      <w:r>
        <w:rPr>
          <w:rFonts w:ascii="Open Sans" w:cs="Open Sans" w:hAnsi="Open Sans"/>
          <w:color w:val="000000"/>
          <w:sz w:val="20"/>
          <w:lang w:val="en-US"/>
        </w:rPr>
        <w:t xml:space="preserve"> and some other</w:t>
      </w:r>
      <w:r>
        <w:rPr>
          <w:rFonts w:cs="Open Sans" w:hAnsi="Open Sans"/>
          <w:color w:val="000000"/>
          <w:sz w:val="20"/>
          <w:lang w:val="en-US"/>
        </w:rPr>
        <w:t xml:space="preserve"> reconciliation statements, </w:t>
      </w:r>
      <w:r>
        <w:rPr>
          <w:rFonts w:ascii="Open Sans" w:cs="Open Sans" w:hAnsi="Open Sans"/>
          <w:color w:val="000000"/>
          <w:sz w:val="20"/>
          <w:lang w:val="en-US"/>
        </w:rPr>
        <w:t xml:space="preserve"> GL reports as requested by the Client.</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Communicate and assisting to the client on the accounting treatment with regard to GL process (GL Coding) and get back to client assuring him the changes has been made in the manner he wanted.</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MIS Reporting and complying with internal control policies with regard to process.</w:t>
      </w:r>
    </w:p>
    <w:p>
      <w:pPr>
        <w:pStyle w:val="style0"/>
        <w:rPr>
          <w:lang w:val="en-US"/>
        </w:rPr>
      </w:pPr>
    </w:p>
    <w:p>
      <w:pPr>
        <w:pStyle w:val="style3"/>
        <w:spacing w:lineRule="auto" w:line="276"/>
        <w:ind w:left="720"/>
        <w:jc w:val="both"/>
        <w:contextualSpacing w:val="false"/>
        <w:rPr>
          <w:rFonts w:ascii="Open Sans" w:cs="Open Sans" w:hAnsi="Open Sans"/>
          <w:sz w:val="18"/>
        </w:rPr>
      </w:pPr>
      <w:r>
        <w:rPr>
          <w:rFonts w:ascii="Open Sans" w:cs="Open Sans" w:eastAsia="Rockwell" w:hAnsi="Open Sans"/>
          <w:smallCaps w:val="false"/>
          <w:color w:val="0070c0"/>
          <w:szCs w:val="24"/>
        </w:rPr>
        <w:t>Assistant Manager &amp; Credit Analyst</w:t>
      </w:r>
      <w:r>
        <w:rPr>
          <w:rFonts w:ascii="Open Sans" w:cs="Open Sans" w:eastAsia="Rockwell" w:hAnsi="Open Sans"/>
          <w:smallCaps w:val="false"/>
          <w:color w:val="0070c0"/>
          <w:szCs w:val="24"/>
        </w:rPr>
        <w:t xml:space="preserve"> /</w:t>
      </w:r>
      <w:r>
        <w:rPr>
          <w:rFonts w:ascii="Open Sans" w:cs="Open Sans" w:eastAsia="Rockwell" w:hAnsi="Open Sans"/>
          <w:smallCaps w:val="false"/>
          <w:color w:val="0070c0"/>
          <w:szCs w:val="24"/>
        </w:rPr>
        <w:t xml:space="preserve"> </w:t>
      </w:r>
      <w:r>
        <w:rPr>
          <w:rFonts w:ascii="Open Sans" w:cs="Open Sans" w:eastAsia="Rockwell" w:hAnsi="Open Sans"/>
          <w:smallCaps w:val="false"/>
          <w:szCs w:val="24"/>
        </w:rPr>
        <w:t>Axis Bank Ltd.</w:t>
      </w:r>
      <w:r>
        <w:rPr>
          <w:rFonts w:cs="Open Sans" w:eastAsia="Rockwell" w:hAnsi="Open Sans"/>
          <w:smallCaps w:val="false"/>
          <w:szCs w:val="24"/>
          <w:lang w:val="en-US"/>
        </w:rPr>
        <w:t xml:space="preserve">, </w:t>
      </w:r>
    </w:p>
    <w:p>
      <w:pPr>
        <w:pStyle w:val="style3"/>
        <w:spacing w:lineRule="auto" w:line="276"/>
        <w:ind w:left="720"/>
        <w:jc w:val="both"/>
        <w:contextualSpacing w:val="false"/>
        <w:rPr>
          <w:sz w:val="20"/>
        </w:rPr>
      </w:pPr>
      <w:r>
        <w:rPr>
          <w:rFonts w:ascii="Open Sans" w:cs="Open Sans" w:hAnsi="Open Sans"/>
          <w:sz w:val="18"/>
        </w:rPr>
        <w:t>May</w:t>
      </w:r>
      <w:r>
        <w:rPr>
          <w:rFonts w:ascii="Open Sans" w:cs="Open Sans" w:hAnsi="Open Sans"/>
          <w:sz w:val="18"/>
        </w:rPr>
        <w:t xml:space="preserve"> 201</w:t>
      </w:r>
      <w:r>
        <w:rPr>
          <w:rFonts w:ascii="Open Sans" w:cs="Open Sans" w:hAnsi="Open Sans"/>
          <w:sz w:val="18"/>
        </w:rPr>
        <w:t>3</w:t>
      </w:r>
      <w:r>
        <w:rPr>
          <w:rFonts w:ascii="Open Sans" w:cs="Open Sans" w:hAnsi="Open Sans"/>
          <w:sz w:val="18"/>
        </w:rPr>
        <w:t xml:space="preserve"> –</w:t>
      </w:r>
      <w:r>
        <w:rPr>
          <w:rFonts w:ascii="Open Sans" w:cs="Open Sans" w:hAnsi="Open Sans"/>
          <w:sz w:val="18"/>
        </w:rPr>
        <w:t xml:space="preserve"> </w:t>
      </w:r>
      <w:r>
        <w:rPr>
          <w:rFonts w:ascii="Open Sans" w:cs="Open Sans" w:hAnsi="Open Sans"/>
          <w:sz w:val="18"/>
        </w:rPr>
        <w:t>July</w:t>
      </w:r>
      <w:r>
        <w:rPr>
          <w:rFonts w:ascii="Open Sans" w:cs="Open Sans" w:hAnsi="Open Sans"/>
          <w:sz w:val="18"/>
        </w:rPr>
        <w:t xml:space="preserve"> 201</w:t>
      </w:r>
      <w:r>
        <w:rPr>
          <w:rFonts w:ascii="Open Sans" w:cs="Open Sans" w:hAnsi="Open Sans"/>
          <w:sz w:val="18"/>
        </w:rPr>
        <w:t>4</w:t>
      </w:r>
      <w:bookmarkStart w:id="0" w:name="_GoBack"/>
      <w:bookmarkEnd w:id="0"/>
    </w:p>
    <w:p>
      <w:pPr>
        <w:pStyle w:val="style0"/>
        <w:spacing w:lineRule="auto" w:line="240"/>
        <w:ind w:firstLine="720"/>
        <w:rPr>
          <w:b/>
          <w:lang w:val="en-US"/>
        </w:rPr>
      </w:pPr>
      <w:r>
        <w:rPr>
          <w:b/>
          <w:lang w:val="en-US"/>
        </w:rPr>
        <w:t xml:space="preserve">Key </w:t>
      </w:r>
      <w:r>
        <w:rPr>
          <w:b/>
          <w:lang w:val="en-US"/>
        </w:rPr>
        <w:t>Responsibilities: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Studying,</w:t>
      </w:r>
      <w:r>
        <w:rPr>
          <w:rFonts w:ascii="Open Sans" w:cs="Open Sans" w:hAnsi="Open Sans"/>
          <w:color w:val="000000"/>
          <w:sz w:val="20"/>
          <w:lang w:val="en-US"/>
        </w:rPr>
        <w:t xml:space="preserve"> </w:t>
      </w:r>
      <w:r>
        <w:rPr>
          <w:rFonts w:ascii="Open Sans" w:cs="Open Sans" w:hAnsi="Open Sans"/>
          <w:color w:val="000000"/>
          <w:sz w:val="20"/>
          <w:lang w:val="en-US"/>
        </w:rPr>
        <w:t>Analy</w:t>
      </w:r>
      <w:r>
        <w:rPr>
          <w:rFonts w:ascii="Open Sans" w:cs="Open Sans" w:hAnsi="Open Sans"/>
          <w:color w:val="000000"/>
          <w:sz w:val="20"/>
          <w:lang w:val="en-US"/>
        </w:rPr>
        <w:t>z</w:t>
      </w:r>
      <w:r>
        <w:rPr>
          <w:rFonts w:ascii="Open Sans" w:cs="Open Sans" w:hAnsi="Open Sans"/>
          <w:color w:val="000000"/>
          <w:sz w:val="20"/>
          <w:lang w:val="en-US"/>
        </w:rPr>
        <w:t>ing, Assessing, and interpreting client provided financial information and gathering information about clients from different other sources in order to assess their credibility.</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 xml:space="preserve">Undertaking Risk Assessment Analysis of client from internal and External sources as applicable. </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Visiting client’s workplace to know about the business and also to assess their credibility in repayment of the loan, if it gets sanctioned.</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Preparation of Credit Monitoring Arrangement (CMA) report of the client based on the past financial data as submitted by them, which will be certified by their Auditor and also analysis of different financial ratios.</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 xml:space="preserve">Assisting Internal Auditors at the time of Audit of the branch and providing necessary information as required by them. </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 xml:space="preserve">Periodic Review of the data submitted by the clients like Financial Follow up Report (FFR I&amp;II), Stock Statements, Annual Report etc. </w:t>
      </w:r>
    </w:p>
    <w:p>
      <w:pPr>
        <w:pStyle w:val="style179"/>
        <w:numPr>
          <w:ilvl w:val="0"/>
          <w:numId w:val="2"/>
        </w:numPr>
        <w:spacing w:after="0" w:lineRule="auto" w:line="240"/>
        <w:jc w:val="both"/>
        <w:rPr>
          <w:rFonts w:ascii="Open Sans" w:cs="Open Sans" w:hAnsi="Open Sans"/>
          <w:color w:val="000000"/>
          <w:sz w:val="20"/>
          <w:lang w:val="en-US"/>
        </w:rPr>
      </w:pPr>
      <w:r>
        <w:rPr>
          <w:rFonts w:ascii="Open Sans" w:cs="Open Sans" w:hAnsi="Open Sans"/>
          <w:color w:val="000000"/>
          <w:sz w:val="20"/>
          <w:lang w:val="en-US"/>
        </w:rPr>
        <w:t>Preparation of MIS data periodically viz. Weekly, Monthly, Quarterly and some other statements as and when required by the Management.</w:t>
      </w:r>
    </w:p>
    <w:p>
      <w:pPr>
        <w:pStyle w:val="style0"/>
        <w:rPr>
          <w:rFonts w:ascii="Open Sans" w:cs="Open Sans" w:hAnsi="Open Sans"/>
          <w:b/>
          <w:color w:val="000000"/>
          <w:lang w:val="en-US"/>
        </w:rPr>
      </w:pPr>
    </w:p>
    <w:p>
      <w:pPr>
        <w:pStyle w:val="style0"/>
        <w:rPr>
          <w:rFonts w:ascii="Open Sans" w:cs="Open Sans" w:hAnsi="Open Sans"/>
          <w:b/>
          <w:color w:val="000000"/>
          <w:lang w:val="en-US"/>
        </w:rPr>
      </w:pPr>
      <w:r>
        <w:rPr>
          <w:rFonts w:ascii="Open Sans" w:cs="Open Sans" w:hAnsi="Open Sans"/>
          <w:b/>
          <w:color w:val="000000"/>
          <w:lang w:val="en-US"/>
        </w:rPr>
        <w:t>Education:</w:t>
      </w:r>
    </w:p>
    <w:p>
      <w:pPr>
        <w:pStyle w:val="style0"/>
        <w:spacing w:lineRule="auto" w:line="240"/>
        <w:contextualSpacing/>
        <w:rPr>
          <w:b/>
          <w:lang w:val="en-US"/>
        </w:rPr>
      </w:pPr>
      <w:r>
        <w:rPr>
          <w:b/>
          <w:lang w:val="en-US"/>
        </w:rPr>
        <w:t>Professional:</w:t>
      </w:r>
    </w:p>
    <w:p>
      <w:pPr>
        <w:pStyle w:val="style2"/>
        <w:numPr>
          <w:ilvl w:val="0"/>
          <w:numId w:val="7"/>
        </w:numPr>
        <w:jc w:val="both"/>
        <w:rPr>
          <w:rFonts w:ascii="Open Sans" w:cs="Open Sans" w:hAnsi="Open Sans"/>
          <w:b w:val="false"/>
          <w:color w:val="595959"/>
          <w:sz w:val="22"/>
          <w:szCs w:val="24"/>
        </w:rPr>
      </w:pPr>
      <w:r>
        <w:rPr>
          <w:rFonts w:ascii="Open Sans" w:cs="Open Sans" w:hAnsi="Open Sans"/>
          <w:b w:val="false"/>
          <w:color w:val="0070c0"/>
          <w:sz w:val="22"/>
          <w:szCs w:val="24"/>
        </w:rPr>
        <w:t xml:space="preserve">CA – Final </w:t>
      </w:r>
      <w:r>
        <w:rPr>
          <w:rFonts w:ascii="Open Sans" w:cs="Open Sans" w:hAnsi="Open Sans"/>
          <w:color w:val="0070c0"/>
          <w:sz w:val="22"/>
          <w:szCs w:val="24"/>
        </w:rPr>
        <w:t>/</w:t>
      </w:r>
      <w:r>
        <w:rPr>
          <w:rFonts w:ascii="Open Sans" w:cs="Open Sans" w:hAnsi="Open Sans"/>
          <w:b w:val="false"/>
          <w:color w:val="0070c0"/>
          <w:sz w:val="22"/>
          <w:szCs w:val="24"/>
        </w:rPr>
        <w:t xml:space="preserve"> </w:t>
      </w:r>
      <w:r>
        <w:rPr>
          <w:rFonts w:ascii="Open Sans" w:cs="Open Sans" w:hAnsi="Open Sans"/>
          <w:b w:val="false"/>
          <w:color w:val="595959"/>
          <w:sz w:val="20"/>
          <w:szCs w:val="24"/>
        </w:rPr>
        <w:t>The Institute of Chartered Accountants of India, New Delhi in 2012.</w:t>
      </w:r>
    </w:p>
    <w:p>
      <w:pPr>
        <w:pStyle w:val="style2"/>
        <w:numPr>
          <w:ilvl w:val="0"/>
          <w:numId w:val="7"/>
        </w:numPr>
        <w:jc w:val="both"/>
        <w:rPr>
          <w:rFonts w:ascii="Open Sans" w:cs="Open Sans" w:hAnsi="Open Sans"/>
          <w:b w:val="false"/>
          <w:color w:val="595959"/>
          <w:sz w:val="20"/>
          <w:szCs w:val="24"/>
        </w:rPr>
      </w:pPr>
      <w:r>
        <w:rPr>
          <w:rFonts w:ascii="Open Sans" w:cs="Open Sans" w:hAnsi="Open Sans"/>
          <w:b w:val="false"/>
          <w:color w:val="0070c0"/>
          <w:sz w:val="22"/>
          <w:szCs w:val="24"/>
        </w:rPr>
        <w:t>Professional Competence Course (PCC)</w:t>
      </w:r>
      <w:r>
        <w:t xml:space="preserve"> </w:t>
      </w:r>
      <w:r>
        <w:rPr>
          <w:rFonts w:ascii="Open Sans" w:cs="Open Sans" w:hAnsi="Open Sans"/>
          <w:color w:val="0070c0"/>
          <w:sz w:val="22"/>
          <w:szCs w:val="24"/>
        </w:rPr>
        <w:t>/</w:t>
      </w:r>
      <w:r>
        <w:rPr>
          <w:rFonts w:ascii="Open Sans" w:cs="Open Sans" w:hAnsi="Open Sans"/>
          <w:sz w:val="22"/>
          <w:szCs w:val="24"/>
        </w:rPr>
        <w:t xml:space="preserve"> </w:t>
      </w:r>
      <w:r>
        <w:rPr>
          <w:rFonts w:ascii="Open Sans" w:cs="Open Sans" w:hAnsi="Open Sans"/>
          <w:b w:val="false"/>
          <w:color w:val="595959"/>
          <w:sz w:val="20"/>
          <w:szCs w:val="24"/>
        </w:rPr>
        <w:t>The Institute of Chartered Accountants of India, New Delhi</w:t>
      </w:r>
      <w:r>
        <w:rPr>
          <w:rFonts w:ascii="Open Sans" w:cs="Open Sans" w:hAnsi="Open Sans"/>
          <w:b w:val="false"/>
          <w:color w:val="595959"/>
          <w:sz w:val="20"/>
          <w:szCs w:val="24"/>
        </w:rPr>
        <w:t xml:space="preserve"> in 2009.</w:t>
      </w:r>
    </w:p>
    <w:p>
      <w:pPr>
        <w:pStyle w:val="style3"/>
        <w:numPr>
          <w:ilvl w:val="0"/>
          <w:numId w:val="7"/>
        </w:numPr>
        <w:jc w:val="both"/>
        <w:rPr>
          <w:rFonts w:ascii="Open Sans" w:cs="Open Sans" w:eastAsia="Rockwell" w:hAnsi="Open Sans"/>
          <w:smallCaps w:val="false"/>
          <w:sz w:val="20"/>
          <w:szCs w:val="24"/>
        </w:rPr>
      </w:pPr>
      <w:r>
        <w:rPr>
          <w:rFonts w:ascii="Open Sans" w:cs="Open Sans" w:eastAsia="Rockwell" w:hAnsi="Open Sans"/>
          <w:smallCaps w:val="false"/>
          <w:color w:val="0070c0"/>
          <w:szCs w:val="24"/>
        </w:rPr>
        <w:t>Common Proficiency Test (CPT)</w:t>
      </w:r>
      <w:r>
        <w:rPr>
          <w:rFonts w:ascii="Open Sans" w:cs="Open Sans" w:eastAsia="Rockwell" w:hAnsi="Open Sans"/>
          <w:smallCaps w:val="false"/>
          <w:color w:val="0070c0"/>
          <w:szCs w:val="24"/>
        </w:rPr>
        <w:t xml:space="preserve"> </w:t>
      </w:r>
      <w:r>
        <w:rPr>
          <w:rFonts w:ascii="Open Sans" w:cs="Open Sans" w:eastAsia="Rockwell" w:hAnsi="Open Sans"/>
          <w:b/>
          <w:smallCaps w:val="false"/>
          <w:color w:val="0070c0"/>
          <w:szCs w:val="24"/>
        </w:rPr>
        <w:t>/</w:t>
      </w:r>
      <w:r>
        <w:rPr>
          <w:rFonts w:ascii="Open Sans" w:cs="Open Sans" w:hAnsi="Open Sans"/>
          <w:szCs w:val="24"/>
        </w:rPr>
        <w:t xml:space="preserve"> </w:t>
      </w:r>
      <w:r>
        <w:rPr>
          <w:rFonts w:ascii="Open Sans" w:cs="Open Sans" w:eastAsia="Rockwell" w:hAnsi="Open Sans"/>
          <w:smallCaps w:val="false"/>
          <w:sz w:val="20"/>
          <w:szCs w:val="24"/>
        </w:rPr>
        <w:t>The Institute of Chartered Accountants of India, New Delhi in 2007</w:t>
      </w:r>
      <w:r>
        <w:rPr>
          <w:rFonts w:ascii="Open Sans" w:cs="Open Sans" w:eastAsia="Rockwell" w:hAnsi="Open Sans"/>
          <w:smallCaps w:val="false"/>
          <w:sz w:val="20"/>
          <w:szCs w:val="24"/>
        </w:rPr>
        <w:t>.</w:t>
      </w:r>
    </w:p>
    <w:p>
      <w:pPr>
        <w:pStyle w:val="style2"/>
        <w:numPr>
          <w:ilvl w:val="0"/>
          <w:numId w:val="7"/>
        </w:numPr>
        <w:jc w:val="both"/>
        <w:rPr>
          <w:rFonts w:ascii="Open Sans" w:cs="Open Sans" w:hAnsi="Open Sans"/>
          <w:b w:val="false"/>
          <w:color w:val="595959"/>
          <w:sz w:val="20"/>
          <w:szCs w:val="24"/>
        </w:rPr>
      </w:pPr>
      <w:r>
        <w:rPr>
          <w:rFonts w:ascii="Open Sans" w:cs="Open Sans" w:hAnsi="Open Sans"/>
          <w:b w:val="false"/>
          <w:color w:val="0070c0"/>
          <w:sz w:val="22"/>
          <w:szCs w:val="24"/>
        </w:rPr>
        <w:t>Articleship</w:t>
      </w:r>
      <w:r>
        <w:rPr>
          <w:rFonts w:ascii="Open Sans" w:cs="Open Sans" w:hAnsi="Open Sans"/>
          <w:b w:val="false"/>
          <w:color w:val="0070c0"/>
          <w:sz w:val="22"/>
          <w:szCs w:val="24"/>
        </w:rPr>
        <w:t xml:space="preserve"> Training</w:t>
      </w:r>
      <w:r>
        <w:rPr>
          <w:rFonts w:ascii="Open Sans" w:cs="Open Sans" w:hAnsi="Open Sans"/>
          <w:b w:val="false"/>
          <w:color w:val="0070c0"/>
          <w:sz w:val="22"/>
          <w:szCs w:val="24"/>
        </w:rPr>
        <w:t xml:space="preserve"> </w:t>
      </w:r>
      <w:r>
        <w:rPr>
          <w:rFonts w:ascii="Open Sans" w:cs="Open Sans" w:hAnsi="Open Sans"/>
          <w:color w:val="0070c0"/>
          <w:sz w:val="22"/>
          <w:szCs w:val="24"/>
        </w:rPr>
        <w:t>/</w:t>
      </w:r>
      <w:r>
        <w:rPr>
          <w:rFonts w:ascii="Open Sans" w:cs="Open Sans" w:hAnsi="Open Sans"/>
          <w:color w:val="0070c0"/>
          <w:sz w:val="22"/>
          <w:szCs w:val="24"/>
        </w:rPr>
        <w:t xml:space="preserve"> </w:t>
      </w:r>
      <w:r>
        <w:rPr>
          <w:rFonts w:ascii="Open Sans" w:cs="Open Sans" w:hAnsi="Open Sans"/>
          <w:b w:val="false"/>
          <w:color w:val="595959"/>
          <w:sz w:val="20"/>
          <w:szCs w:val="24"/>
        </w:rPr>
        <w:t>ICAI with M/s. JRS &amp; Associates</w:t>
      </w:r>
      <w:r>
        <w:rPr>
          <w:rFonts w:ascii="Open Sans" w:cs="Open Sans" w:hAnsi="Open Sans"/>
          <w:b w:val="false"/>
          <w:color w:val="595959"/>
          <w:sz w:val="20"/>
          <w:szCs w:val="24"/>
        </w:rPr>
        <w:t>.</w:t>
      </w:r>
    </w:p>
    <w:p>
      <w:pPr>
        <w:pStyle w:val="style0"/>
        <w:spacing w:lineRule="auto" w:line="240"/>
        <w:contextualSpacing/>
        <w:rPr>
          <w:lang w:val="en-US"/>
        </w:rPr>
      </w:pPr>
    </w:p>
    <w:p>
      <w:pPr>
        <w:pStyle w:val="style0"/>
        <w:spacing w:lineRule="auto" w:line="240"/>
        <w:contextualSpacing/>
        <w:rPr>
          <w:b/>
          <w:lang w:val="en-US"/>
        </w:rPr>
      </w:pPr>
      <w:r>
        <w:rPr>
          <w:b/>
          <w:lang w:val="en-US"/>
        </w:rPr>
        <w:t>Academic:</w:t>
      </w:r>
    </w:p>
    <w:p>
      <w:pPr>
        <w:pStyle w:val="style2"/>
        <w:numPr>
          <w:ilvl w:val="0"/>
          <w:numId w:val="7"/>
        </w:numPr>
        <w:jc w:val="both"/>
        <w:rPr>
          <w:rFonts w:ascii="Open Sans" w:cs="Open Sans" w:hAnsi="Open Sans"/>
          <w:b w:val="false"/>
          <w:color w:val="595959"/>
          <w:sz w:val="20"/>
          <w:szCs w:val="24"/>
        </w:rPr>
      </w:pPr>
      <w:r>
        <w:rPr>
          <w:rFonts w:ascii="Open Sans" w:cs="Open Sans" w:hAnsi="Open Sans"/>
          <w:b w:val="false"/>
          <w:color w:val="0070c0"/>
          <w:sz w:val="22"/>
          <w:szCs w:val="24"/>
        </w:rPr>
        <w:t>Graduation (B.com A&amp;F)</w:t>
      </w:r>
      <w:r>
        <w:rPr>
          <w:rFonts w:ascii="Open Sans" w:cs="Open Sans" w:hAnsi="Open Sans"/>
          <w:color w:val="0070c0"/>
          <w:sz w:val="22"/>
          <w:szCs w:val="24"/>
        </w:rPr>
        <w:t>/</w:t>
      </w:r>
      <w:r>
        <w:rPr>
          <w:rFonts w:ascii="Open Sans" w:cs="Open Sans" w:hAnsi="Open Sans"/>
          <w:b w:val="false"/>
          <w:color w:val="0070c0"/>
          <w:sz w:val="22"/>
          <w:szCs w:val="24"/>
        </w:rPr>
        <w:t xml:space="preserve"> </w:t>
      </w:r>
      <w:r>
        <w:rPr>
          <w:rFonts w:ascii="Open Sans" w:cs="Open Sans" w:hAnsi="Open Sans"/>
          <w:b w:val="false"/>
          <w:color w:val="595959"/>
          <w:sz w:val="20"/>
          <w:szCs w:val="24"/>
        </w:rPr>
        <w:t>IGNOU, Chennai in 2017.</w:t>
      </w:r>
    </w:p>
    <w:p>
      <w:pPr>
        <w:pStyle w:val="style2"/>
        <w:numPr>
          <w:ilvl w:val="0"/>
          <w:numId w:val="7"/>
        </w:numPr>
        <w:jc w:val="both"/>
        <w:rPr>
          <w:rFonts w:ascii="Open Sans" w:cs="Open Sans" w:hAnsi="Open Sans"/>
          <w:sz w:val="20"/>
          <w:szCs w:val="24"/>
        </w:rPr>
      </w:pPr>
      <w:r>
        <w:rPr>
          <w:rFonts w:ascii="Open Sans" w:cs="Open Sans" w:hAnsi="Open Sans"/>
          <w:b w:val="false"/>
          <w:color w:val="0070c0"/>
          <w:sz w:val="22"/>
          <w:szCs w:val="24"/>
        </w:rPr>
        <w:t>Intermediate</w:t>
      </w:r>
      <w:r>
        <w:t xml:space="preserve"> </w:t>
      </w:r>
      <w:r>
        <w:rPr>
          <w:rFonts w:ascii="Open Sans" w:cs="Open Sans" w:hAnsi="Open Sans"/>
          <w:color w:val="0070c0"/>
          <w:sz w:val="22"/>
          <w:szCs w:val="24"/>
        </w:rPr>
        <w:t>/</w:t>
      </w:r>
      <w:r>
        <w:rPr>
          <w:rFonts w:ascii="Open Sans" w:cs="Open Sans" w:hAnsi="Open Sans"/>
          <w:sz w:val="22"/>
          <w:szCs w:val="24"/>
        </w:rPr>
        <w:t xml:space="preserve"> </w:t>
      </w:r>
      <w:r>
        <w:rPr>
          <w:rFonts w:ascii="Open Sans" w:cs="Open Sans" w:hAnsi="Open Sans"/>
          <w:b w:val="false"/>
          <w:color w:val="595959"/>
          <w:sz w:val="20"/>
          <w:szCs w:val="24"/>
        </w:rPr>
        <w:t>Board of Intermediate Education, Andhra Pradesh in 2007.</w:t>
      </w:r>
    </w:p>
    <w:p>
      <w:pPr>
        <w:pStyle w:val="style2"/>
        <w:numPr>
          <w:ilvl w:val="0"/>
          <w:numId w:val="7"/>
        </w:numPr>
        <w:jc w:val="both"/>
        <w:rPr>
          <w:rFonts w:ascii="Open Sans" w:cs="Open Sans" w:hAnsi="Open Sans"/>
          <w:sz w:val="20"/>
          <w:szCs w:val="24"/>
        </w:rPr>
      </w:pPr>
      <w:r>
        <w:rPr>
          <w:rFonts w:ascii="Open Sans" w:cs="Open Sans" w:hAnsi="Open Sans"/>
          <w:b w:val="false"/>
          <w:color w:val="0070c0"/>
          <w:sz w:val="22"/>
          <w:szCs w:val="24"/>
        </w:rPr>
        <w:t>Secondary Education (SSC)</w:t>
      </w:r>
      <w:r>
        <w:rPr>
          <w:rFonts w:ascii="Open Sans" w:cs="Open Sans" w:hAnsi="Open Sans"/>
          <w:color w:val="0070c0"/>
          <w:szCs w:val="24"/>
        </w:rPr>
        <w:t xml:space="preserve"> /</w:t>
      </w:r>
      <w:r>
        <w:rPr>
          <w:rFonts w:ascii="Open Sans" w:cs="Open Sans" w:hAnsi="Open Sans"/>
          <w:szCs w:val="24"/>
        </w:rPr>
        <w:t xml:space="preserve"> </w:t>
      </w:r>
      <w:r>
        <w:rPr>
          <w:rFonts w:ascii="Open Sans" w:cs="Open Sans" w:hAnsi="Open Sans"/>
          <w:b w:val="false"/>
          <w:color w:val="595959"/>
          <w:sz w:val="20"/>
          <w:szCs w:val="24"/>
        </w:rPr>
        <w:t>Board of Secondary Education, Andhra Pradesh in 2005.</w:t>
      </w:r>
    </w:p>
    <w:p>
      <w:pPr>
        <w:pStyle w:val="style0"/>
        <w:rPr>
          <w:rFonts w:ascii="Open Sans" w:cs="Open Sans" w:hAnsi="Open Sans"/>
          <w:b/>
          <w:color w:val="000000"/>
          <w:lang w:val="en-US"/>
        </w:rPr>
      </w:pPr>
    </w:p>
    <w:p>
      <w:pPr>
        <w:pStyle w:val="style0"/>
        <w:rPr>
          <w:rFonts w:ascii="Open Sans" w:cs="Open Sans" w:hAnsi="Open Sans"/>
          <w:b/>
          <w:color w:val="000000"/>
          <w:lang w:val="en-US"/>
        </w:rPr>
      </w:pPr>
      <w:r>
        <w:rPr>
          <w:rFonts w:ascii="Open Sans" w:cs="Open Sans" w:hAnsi="Open Sans"/>
          <w:b/>
          <w:color w:val="000000"/>
          <w:lang w:val="en-US"/>
        </w:rPr>
        <w:t>Technical Skills:</w:t>
      </w:r>
    </w:p>
    <w:p>
      <w:pPr>
        <w:pStyle w:val="style2"/>
        <w:numPr>
          <w:ilvl w:val="0"/>
          <w:numId w:val="7"/>
        </w:numPr>
        <w:jc w:val="both"/>
        <w:contextualSpacing w:val="false"/>
        <w:rPr>
          <w:rFonts w:ascii="Open Sans" w:cs="Open Sans" w:eastAsia="Calibri" w:hAnsi="Open Sans"/>
          <w:b w:val="false"/>
          <w:color w:val="000000"/>
          <w:sz w:val="20"/>
          <w:szCs w:val="22"/>
        </w:rPr>
      </w:pPr>
      <w:r>
        <w:rPr>
          <w:rFonts w:ascii="Open Sans" w:cs="Open Sans" w:eastAsia="Calibri" w:hAnsi="Open Sans"/>
          <w:b w:val="false"/>
          <w:color w:val="000000"/>
          <w:sz w:val="20"/>
          <w:szCs w:val="22"/>
        </w:rPr>
        <w:t>MS-Office</w:t>
      </w:r>
      <w:r>
        <w:rPr>
          <w:rFonts w:ascii="Open Sans" w:cs="Open Sans" w:eastAsia="Calibri" w:hAnsi="Open Sans"/>
          <w:b w:val="false"/>
          <w:color w:val="000000"/>
          <w:sz w:val="20"/>
          <w:szCs w:val="22"/>
        </w:rPr>
        <w:t>.</w:t>
      </w:r>
    </w:p>
    <w:p>
      <w:pPr>
        <w:pStyle w:val="style2"/>
        <w:numPr>
          <w:ilvl w:val="0"/>
          <w:numId w:val="7"/>
        </w:numPr>
        <w:jc w:val="both"/>
        <w:contextualSpacing w:val="false"/>
        <w:rPr>
          <w:rFonts w:ascii="Open Sans" w:cs="Open Sans" w:eastAsia="Calibri" w:hAnsi="Open Sans"/>
          <w:b w:val="false"/>
          <w:color w:val="000000"/>
          <w:sz w:val="20"/>
          <w:szCs w:val="22"/>
        </w:rPr>
      </w:pPr>
      <w:r>
        <w:rPr>
          <w:rFonts w:ascii="Open Sans" w:cs="Open Sans" w:eastAsia="Calibri" w:hAnsi="Open Sans"/>
          <w:b w:val="false"/>
          <w:color w:val="000000"/>
          <w:sz w:val="20"/>
          <w:szCs w:val="22"/>
        </w:rPr>
        <w:t>Accounting packages - Tally.ERP9, QuickBooks, MYOB</w:t>
      </w:r>
      <w:r>
        <w:rPr>
          <w:rFonts w:ascii="Open Sans" w:cs="Open Sans" w:eastAsia="Calibri" w:hAnsi="Open Sans"/>
          <w:b w:val="false"/>
          <w:color w:val="000000"/>
          <w:sz w:val="20"/>
          <w:szCs w:val="22"/>
        </w:rPr>
        <w:t>.</w:t>
      </w:r>
      <w:r>
        <w:rPr>
          <w:rFonts w:ascii="Open Sans" w:cs="Open Sans" w:eastAsia="Calibri" w:hAnsi="Open Sans"/>
          <w:b w:val="false"/>
          <w:color w:val="000000"/>
          <w:sz w:val="20"/>
          <w:szCs w:val="22"/>
        </w:rPr>
        <w:t xml:space="preserve"> </w:t>
      </w:r>
    </w:p>
    <w:p>
      <w:pPr>
        <w:pStyle w:val="style2"/>
        <w:numPr>
          <w:ilvl w:val="0"/>
          <w:numId w:val="7"/>
        </w:numPr>
        <w:jc w:val="both"/>
        <w:contextualSpacing w:val="false"/>
        <w:rPr>
          <w:rFonts w:ascii="Open Sans" w:cs="Open Sans" w:eastAsia="Calibri" w:hAnsi="Open Sans"/>
          <w:b w:val="false"/>
          <w:color w:val="000000"/>
          <w:sz w:val="20"/>
          <w:szCs w:val="22"/>
        </w:rPr>
      </w:pPr>
      <w:r>
        <w:rPr>
          <w:rFonts w:ascii="Open Sans" w:cs="Open Sans" w:eastAsia="Calibri" w:hAnsi="Open Sans"/>
          <w:b w:val="false"/>
          <w:color w:val="000000"/>
          <w:sz w:val="20"/>
          <w:szCs w:val="22"/>
        </w:rPr>
        <w:t>Accounting &amp; Income Tax Software</w:t>
      </w:r>
      <w:r>
        <w:rPr>
          <w:rFonts w:ascii="Open Sans" w:cs="Open Sans" w:eastAsia="Calibri" w:hAnsi="Open Sans"/>
          <w:b w:val="false"/>
          <w:color w:val="000000"/>
          <w:sz w:val="20"/>
          <w:szCs w:val="22"/>
        </w:rPr>
        <w:t>.</w:t>
      </w:r>
    </w:p>
    <w:p>
      <w:pPr>
        <w:pStyle w:val="style0"/>
        <w:spacing w:after="0"/>
        <w:rPr>
          <w:rFonts w:ascii="Open Sans" w:cs="Open Sans" w:hAnsi="Open Sans"/>
          <w:b/>
          <w:color w:val="000000"/>
          <w:sz w:val="20"/>
          <w:lang w:val="en-US"/>
        </w:rPr>
      </w:pPr>
    </w:p>
    <w:p>
      <w:pPr>
        <w:pStyle w:val="style0"/>
        <w:rPr>
          <w:rFonts w:ascii="Open Sans" w:cs="Open Sans" w:hAnsi="Open Sans"/>
          <w:b/>
          <w:color w:val="000000"/>
          <w:lang w:val="en-US"/>
        </w:rPr>
      </w:pPr>
      <w:r>
        <w:rPr>
          <w:rFonts w:ascii="Open Sans" w:cs="Open Sans" w:hAnsi="Open Sans"/>
          <w:b/>
          <w:color w:val="000000"/>
          <w:lang w:val="en-US"/>
        </w:rPr>
        <w:t>Personal Identification Information:</w:t>
      </w:r>
    </w:p>
    <w:tbl>
      <w:tblPr>
        <w:tblStyle w:val="style154"/>
        <w:tblW w:w="0" w:type="auto"/>
        <w:tblInd w:w="250" w:type="dxa"/>
        <w:tblLook w:val="04A0" w:firstRow="1" w:lastRow="0" w:firstColumn="1" w:lastColumn="0" w:noHBand="0" w:noVBand="1"/>
      </w:tblPr>
      <w:tblGrid>
        <w:gridCol w:w="1701"/>
        <w:gridCol w:w="9038"/>
      </w:tblGrid>
      <w:tr>
        <w:trPr/>
        <w:tc>
          <w:tcPr>
            <w:tcW w:w="1701" w:type="dxa"/>
            <w:tcBorders/>
          </w:tcPr>
          <w:p>
            <w:pPr>
              <w:pStyle w:val="style0"/>
              <w:jc w:val="both"/>
              <w:rPr>
                <w:rFonts w:ascii="Open Sans" w:cs="Open Sans" w:hAnsi="Open Sans"/>
                <w:color w:val="000000"/>
                <w:sz w:val="20"/>
                <w:lang w:val="en-US"/>
              </w:rPr>
            </w:pPr>
            <w:r>
              <w:rPr>
                <w:rFonts w:ascii="Open Sans" w:cs="Open Sans" w:hAnsi="Open Sans"/>
                <w:color w:val="000000"/>
                <w:sz w:val="20"/>
                <w:lang w:val="en-US"/>
              </w:rPr>
              <w:t>Date of Birth</w:t>
            </w:r>
          </w:p>
        </w:tc>
        <w:tc>
          <w:tcPr>
            <w:tcW w:w="9038" w:type="dxa"/>
            <w:tcBorders/>
          </w:tcPr>
          <w:p>
            <w:pPr>
              <w:pStyle w:val="style0"/>
              <w:jc w:val="both"/>
              <w:rPr>
                <w:rFonts w:ascii="Open Sans" w:cs="Open Sans" w:hAnsi="Open Sans"/>
                <w:color w:val="000000"/>
                <w:sz w:val="20"/>
                <w:lang w:val="en-US"/>
              </w:rPr>
            </w:pPr>
            <w:r>
              <w:rPr>
                <w:rFonts w:ascii="Open Sans" w:cs="Open Sans" w:hAnsi="Open Sans"/>
                <w:color w:val="000000"/>
                <w:sz w:val="20"/>
                <w:lang w:val="en-US"/>
              </w:rPr>
              <w:t xml:space="preserve">: </w:t>
            </w:r>
            <w:r>
              <w:rPr>
                <w:rFonts w:ascii="Open Sans" w:cs="Open Sans" w:hAnsi="Open Sans"/>
                <w:color w:val="000000"/>
                <w:sz w:val="20"/>
                <w:lang w:val="en-US"/>
              </w:rPr>
              <w:t>03</w:t>
            </w:r>
            <w:r>
              <w:rPr>
                <w:rFonts w:ascii="Open Sans" w:cs="Open Sans" w:hAnsi="Open Sans"/>
                <w:color w:val="000000"/>
                <w:sz w:val="20"/>
                <w:lang w:val="en-US"/>
              </w:rPr>
              <w:t>-</w:t>
            </w:r>
            <w:r>
              <w:rPr>
                <w:rFonts w:ascii="Open Sans" w:cs="Open Sans" w:hAnsi="Open Sans"/>
                <w:color w:val="000000"/>
                <w:sz w:val="20"/>
                <w:lang w:val="en-US"/>
              </w:rPr>
              <w:t>August</w:t>
            </w:r>
            <w:r>
              <w:rPr>
                <w:rFonts w:ascii="Open Sans" w:cs="Open Sans" w:hAnsi="Open Sans"/>
                <w:color w:val="000000"/>
                <w:sz w:val="20"/>
                <w:lang w:val="en-US"/>
              </w:rPr>
              <w:t>-199</w:t>
            </w:r>
            <w:r>
              <w:rPr>
                <w:rFonts w:ascii="Open Sans" w:cs="Open Sans" w:hAnsi="Open Sans"/>
                <w:color w:val="000000"/>
                <w:sz w:val="20"/>
                <w:lang w:val="en-US"/>
              </w:rPr>
              <w:t>0</w:t>
            </w:r>
          </w:p>
        </w:tc>
      </w:tr>
      <w:tr>
        <w:tblPrEx/>
        <w:trPr/>
        <w:tc>
          <w:tcPr>
            <w:tcW w:w="1701" w:type="dxa"/>
            <w:tcBorders/>
          </w:tcPr>
          <w:p>
            <w:pPr>
              <w:pStyle w:val="style0"/>
              <w:jc w:val="both"/>
              <w:rPr>
                <w:rFonts w:ascii="Open Sans" w:cs="Open Sans" w:hAnsi="Open Sans"/>
                <w:color w:val="000000"/>
                <w:sz w:val="20"/>
                <w:lang w:val="en-US"/>
              </w:rPr>
            </w:pPr>
            <w:r>
              <w:rPr>
                <w:rFonts w:ascii="Open Sans" w:cs="Open Sans" w:hAnsi="Open Sans"/>
                <w:color w:val="000000"/>
                <w:sz w:val="20"/>
                <w:lang w:val="en-US"/>
              </w:rPr>
              <w:t>Gender</w:t>
            </w:r>
          </w:p>
        </w:tc>
        <w:tc>
          <w:tcPr>
            <w:tcW w:w="9038" w:type="dxa"/>
            <w:tcBorders/>
          </w:tcPr>
          <w:p>
            <w:pPr>
              <w:pStyle w:val="style0"/>
              <w:jc w:val="both"/>
              <w:rPr>
                <w:rFonts w:ascii="Open Sans" w:cs="Open Sans" w:hAnsi="Open Sans"/>
                <w:color w:val="000000"/>
                <w:sz w:val="20"/>
                <w:lang w:val="en-US"/>
              </w:rPr>
            </w:pPr>
            <w:r>
              <w:rPr>
                <w:rFonts w:ascii="Open Sans" w:cs="Open Sans" w:hAnsi="Open Sans"/>
                <w:color w:val="000000"/>
                <w:sz w:val="20"/>
                <w:lang w:val="en-US"/>
              </w:rPr>
              <w:t xml:space="preserve">: </w:t>
            </w:r>
            <w:r>
              <w:rPr>
                <w:rFonts w:ascii="Open Sans" w:cs="Open Sans" w:hAnsi="Open Sans"/>
                <w:color w:val="000000"/>
                <w:sz w:val="20"/>
                <w:lang w:val="en-US"/>
              </w:rPr>
              <w:t>Female</w:t>
            </w:r>
          </w:p>
        </w:tc>
      </w:tr>
      <w:tr>
        <w:tblPrEx/>
        <w:trPr/>
        <w:tc>
          <w:tcPr>
            <w:tcW w:w="1701" w:type="dxa"/>
            <w:tcBorders/>
          </w:tcPr>
          <w:p>
            <w:pPr>
              <w:pStyle w:val="style0"/>
              <w:jc w:val="both"/>
              <w:rPr>
                <w:rFonts w:ascii="Open Sans" w:cs="Open Sans" w:hAnsi="Open Sans"/>
                <w:color w:val="000000"/>
                <w:sz w:val="20"/>
                <w:lang w:val="en-US"/>
              </w:rPr>
            </w:pPr>
            <w:r>
              <w:rPr>
                <w:rFonts w:ascii="Open Sans" w:cs="Open Sans" w:hAnsi="Open Sans"/>
                <w:color w:val="000000"/>
                <w:sz w:val="20"/>
                <w:lang w:val="en-US"/>
              </w:rPr>
              <w:t>Marital Status</w:t>
            </w:r>
          </w:p>
        </w:tc>
        <w:tc>
          <w:tcPr>
            <w:tcW w:w="9038" w:type="dxa"/>
            <w:tcBorders/>
          </w:tcPr>
          <w:p>
            <w:pPr>
              <w:pStyle w:val="style0"/>
              <w:jc w:val="both"/>
              <w:rPr>
                <w:rFonts w:ascii="Open Sans" w:cs="Open Sans" w:hAnsi="Open Sans"/>
                <w:color w:val="000000"/>
                <w:sz w:val="20"/>
                <w:lang w:val="en-US"/>
              </w:rPr>
            </w:pPr>
            <w:r>
              <w:rPr>
                <w:rFonts w:ascii="Open Sans" w:cs="Open Sans" w:hAnsi="Open Sans"/>
                <w:color w:val="000000"/>
                <w:sz w:val="20"/>
                <w:lang w:val="en-US"/>
              </w:rPr>
              <w:t xml:space="preserve">: </w:t>
            </w:r>
            <w:r>
              <w:rPr>
                <w:rFonts w:ascii="Open Sans" w:cs="Open Sans" w:hAnsi="Open Sans"/>
                <w:color w:val="000000"/>
                <w:sz w:val="20"/>
                <w:lang w:val="en-US"/>
              </w:rPr>
              <w:t>Married</w:t>
            </w:r>
          </w:p>
        </w:tc>
      </w:tr>
      <w:tr>
        <w:tblPrEx/>
        <w:trPr/>
        <w:tc>
          <w:tcPr>
            <w:tcW w:w="1701" w:type="dxa"/>
            <w:tcBorders/>
          </w:tcPr>
          <w:p>
            <w:pPr>
              <w:pStyle w:val="style0"/>
              <w:jc w:val="both"/>
              <w:rPr>
                <w:rFonts w:ascii="Open Sans" w:cs="Open Sans" w:hAnsi="Open Sans"/>
                <w:color w:val="000000"/>
                <w:sz w:val="20"/>
                <w:lang w:val="en-US"/>
              </w:rPr>
            </w:pPr>
            <w:r>
              <w:rPr>
                <w:rFonts w:ascii="Open Sans" w:cs="Open Sans" w:hAnsi="Open Sans"/>
                <w:color w:val="000000"/>
                <w:sz w:val="20"/>
                <w:lang w:val="en-US"/>
              </w:rPr>
              <w:t>Nationality</w:t>
            </w:r>
          </w:p>
        </w:tc>
        <w:tc>
          <w:tcPr>
            <w:tcW w:w="9038" w:type="dxa"/>
            <w:tcBorders/>
          </w:tcPr>
          <w:p>
            <w:pPr>
              <w:pStyle w:val="style0"/>
              <w:jc w:val="both"/>
              <w:rPr>
                <w:rFonts w:ascii="Open Sans" w:cs="Open Sans" w:hAnsi="Open Sans"/>
                <w:color w:val="000000"/>
                <w:sz w:val="20"/>
                <w:lang w:val="en-US"/>
              </w:rPr>
            </w:pPr>
            <w:r>
              <w:rPr>
                <w:rFonts w:ascii="Open Sans" w:cs="Open Sans" w:hAnsi="Open Sans"/>
                <w:color w:val="000000"/>
                <w:sz w:val="20"/>
                <w:lang w:val="en-US"/>
              </w:rPr>
              <w:t>: Indian</w:t>
            </w:r>
          </w:p>
        </w:tc>
      </w:tr>
    </w:tbl>
    <w:p>
      <w:pPr>
        <w:pStyle w:val="style81"/>
        <w:tabs>
          <w:tab w:val="left" w:leader="none" w:pos="1932"/>
        </w:tabs>
        <w:spacing w:after="60"/>
        <w:rPr>
          <w:rFonts w:ascii="Open Sans" w:cs="Open Sans" w:eastAsia="Calibri" w:hAnsi="Open Sans"/>
          <w:color w:val="000000"/>
          <w:sz w:val="20"/>
          <w:szCs w:val="22"/>
          <w:lang w:val="en-US" w:eastAsia="en-US"/>
        </w:rPr>
      </w:pPr>
    </w:p>
    <w:sectPr>
      <w:pgSz w:w="11906" w:h="16838" w:orient="portrait"/>
      <w:pgMar w:top="709" w:right="566" w:bottom="141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000040204"/>
    <w:charset w:val="00"/>
    <w:family w:val="swiss"/>
    <w:pitch w:val="variable"/>
    <w:sig w:usb0="A00006FF" w:usb1="4000205B" w:usb2="00000010" w:usb3="00000000" w:csb0="0000019F" w:csb1="00000000"/>
  </w:font>
  <w:font w:name="Noto Sans Symbols">
    <w:altName w:val="Gadugi"/>
    <w:panose1 w:val="00000000000000000000"/>
    <w:charset w:val="00"/>
    <w:family w:val="swiss"/>
    <w:pitch w:val="variable"/>
    <w:sig w:usb0="00000003" w:usb1="0200E0A0" w:usb2="00000000" w:usb3="00000000" w:csb0="00000001" w:csb1="00000000"/>
  </w:font>
  <w:font w:name="Calibri">
    <w:altName w:val="Calibri"/>
    <w:panose1 w:val="020f0502020000030204"/>
    <w:charset w:val="00"/>
    <w:family w:val="swiss"/>
    <w:pitch w:val="variable"/>
    <w:sig w:usb0="E4002EFF" w:usb1="C000247B" w:usb2="00000009" w:usb3="00000000" w:csb0="000001FF" w:csb1="00000000"/>
  </w:font>
  <w:font w:name="Rockwell">
    <w:altName w:val="Rockwell"/>
    <w:panose1 w:val="02060603020000020403"/>
    <w:charset w:val="00"/>
    <w:family w:val="roman"/>
    <w:pitch w:val="variable"/>
    <w:sig w:usb0="00000003" w:usb1="00000000" w:usb2="00000000" w:usb3="00000000" w:csb0="00000001" w:csb1="00000000"/>
  </w:font>
  <w:font w:name="Tahoma">
    <w:altName w:val="Tahoma"/>
    <w:panose1 w:val="020b0604030000040204"/>
    <w:charset w:val="00"/>
    <w:family w:val="swiss"/>
    <w:pitch w:val="variable"/>
    <w:sig w:usb0="E1002EFF" w:usb1="C000605B" w:usb2="00000029" w:usb3="00000000" w:csb0="000101FF" w:csb1="00000000"/>
  </w:font>
  <w:font w:name="Aller-Bold">
    <w:altName w:val="Times New Roman"/>
    <w:panose1 w:val="00000000000000000000"/>
    <w:charset w:val="00"/>
    <w:family w:val="auto"/>
    <w:pitch w:val="variable"/>
    <w:sig w:usb0="A00000AF" w:usb1="5000205B" w:usb2="00000000" w:usb3="00000000" w:csb0="00000093" w:csb1="00000000"/>
  </w:font>
  <w:font w:name="Lucida Sans Unicode">
    <w:altName w:val="Lucida Sans Unicode"/>
    <w:panose1 w:val="020b0602030000020204"/>
    <w:charset w:val="00"/>
    <w:family w:val="swiss"/>
    <w:pitch w:val="variable"/>
    <w:sig w:usb0="80000AFF" w:usb1="0000396B" w:usb2="00000000" w:usb3="00000000" w:csb0="000000BF" w:csb1="00000000"/>
  </w:font>
  <w:font w:name="Open Sans">
    <w:altName w:val="Segoe UI"/>
    <w:panose1 w:val="00000000000000000000"/>
    <w:charset w:val="00"/>
    <w:family w:val="swiss"/>
    <w:pitch w:val="variable"/>
    <w:sig w:usb0="E00002EF" w:usb1="4000205B" w:usb2="00000028" w:usb3="00000000" w:csb0="0000019F" w:csb1="00000000"/>
  </w:font>
  <w:font w:name="Segoe UI">
    <w:altName w:val="Segoe UI"/>
    <w:panose1 w:val="020b0502040000020203"/>
    <w:charset w:val="00"/>
    <w:family w:val="swiss"/>
    <w:pitch w:val="variable"/>
    <w:sig w:usb0="E4002EFF" w:usb1="C000E47F"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F08906C"/>
    <w:lvl w:ilvl="0">
      <w:start w:val="1"/>
      <w:numFmt w:val="bullet"/>
      <w:lvlText w:val=""/>
      <w:lvlJc w:val="left"/>
      <w:pPr>
        <w:tabs>
          <w:tab w:val="left" w:leader="none" w:pos="1069"/>
        </w:tabs>
        <w:ind w:left="1069" w:hanging="360"/>
      </w:pPr>
      <w:rPr>
        <w:rFonts w:ascii="Symbol" w:hAnsi="Symbol" w:hint="default"/>
      </w:rPr>
    </w:lvl>
    <w:lvl w:ilvl="1">
      <w:start w:val="1"/>
      <w:numFmt w:val="bullet"/>
      <w:lvlText w:val="o"/>
      <w:lvlJc w:val="left"/>
      <w:pPr>
        <w:tabs>
          <w:tab w:val="left" w:leader="none" w:pos="1789"/>
        </w:tabs>
        <w:ind w:left="1789" w:hanging="360"/>
      </w:pPr>
      <w:rPr>
        <w:rFonts w:ascii="Courier New" w:cs="Courier New" w:hAnsi="Courier New" w:hint="default"/>
      </w:rPr>
    </w:lvl>
    <w:lvl w:ilvl="2">
      <w:start w:val="1"/>
      <w:numFmt w:val="bullet"/>
      <w:lvlText w:val=""/>
      <w:lvlJc w:val="left"/>
      <w:pPr>
        <w:tabs>
          <w:tab w:val="left" w:leader="none" w:pos="2509"/>
        </w:tabs>
        <w:ind w:left="2509" w:hanging="360"/>
      </w:pPr>
      <w:rPr>
        <w:rFonts w:ascii="Wingdings" w:hAnsi="Wingdings" w:hint="default"/>
      </w:rPr>
    </w:lvl>
    <w:lvl w:ilvl="3">
      <w:start w:val="1"/>
      <w:numFmt w:val="bullet"/>
      <w:lvlText w:val=""/>
      <w:lvlJc w:val="left"/>
      <w:pPr>
        <w:tabs>
          <w:tab w:val="left" w:leader="none" w:pos="3229"/>
        </w:tabs>
        <w:ind w:left="3229" w:hanging="360"/>
      </w:pPr>
      <w:rPr>
        <w:rFonts w:ascii="Symbol" w:hAnsi="Symbol" w:hint="default"/>
      </w:rPr>
    </w:lvl>
    <w:lvl w:ilvl="4">
      <w:start w:val="1"/>
      <w:numFmt w:val="bullet"/>
      <w:lvlText w:val="o"/>
      <w:lvlJc w:val="left"/>
      <w:pPr>
        <w:tabs>
          <w:tab w:val="left" w:leader="none" w:pos="3949"/>
        </w:tabs>
        <w:ind w:left="3949" w:hanging="360"/>
      </w:pPr>
      <w:rPr>
        <w:rFonts w:ascii="Courier New" w:cs="Courier New" w:hAnsi="Courier New" w:hint="default"/>
      </w:rPr>
    </w:lvl>
    <w:lvl w:ilvl="5">
      <w:start w:val="1"/>
      <w:numFmt w:val="bullet"/>
      <w:lvlText w:val=""/>
      <w:lvlJc w:val="left"/>
      <w:pPr>
        <w:tabs>
          <w:tab w:val="left" w:leader="none" w:pos="4669"/>
        </w:tabs>
        <w:ind w:left="4669" w:hanging="360"/>
      </w:pPr>
      <w:rPr>
        <w:rFonts w:ascii="Wingdings" w:hAnsi="Wingdings" w:hint="default"/>
      </w:rPr>
    </w:lvl>
    <w:lvl w:ilvl="6">
      <w:start w:val="1"/>
      <w:numFmt w:val="bullet"/>
      <w:lvlText w:val=""/>
      <w:lvlJc w:val="left"/>
      <w:pPr>
        <w:tabs>
          <w:tab w:val="left" w:leader="none" w:pos="5389"/>
        </w:tabs>
        <w:ind w:left="5389" w:hanging="360"/>
      </w:pPr>
      <w:rPr>
        <w:rFonts w:ascii="Symbol" w:hAnsi="Symbol" w:hint="default"/>
      </w:rPr>
    </w:lvl>
    <w:lvl w:ilvl="7">
      <w:start w:val="1"/>
      <w:numFmt w:val="bullet"/>
      <w:lvlText w:val="o"/>
      <w:lvlJc w:val="left"/>
      <w:pPr>
        <w:tabs>
          <w:tab w:val="left" w:leader="none" w:pos="6109"/>
        </w:tabs>
        <w:ind w:left="6109" w:hanging="360"/>
      </w:pPr>
      <w:rPr>
        <w:rFonts w:ascii="Courier New" w:cs="Courier New" w:hAnsi="Courier New" w:hint="default"/>
      </w:rPr>
    </w:lvl>
    <w:lvl w:ilvl="8">
      <w:start w:val="1"/>
      <w:numFmt w:val="bullet"/>
      <w:lvlText w:val=""/>
      <w:lvlJc w:val="left"/>
      <w:pPr>
        <w:tabs>
          <w:tab w:val="left" w:leader="none" w:pos="6829"/>
        </w:tabs>
        <w:ind w:left="6829" w:hanging="360"/>
      </w:pPr>
      <w:rPr>
        <w:rFonts w:ascii="Wingdings" w:hAnsi="Wingdings" w:hint="default"/>
      </w:rPr>
    </w:lvl>
  </w:abstractNum>
  <w:abstractNum w:abstractNumId="1">
    <w:nsid w:val="00000001"/>
    <w:multiLevelType w:val="hybridMultilevel"/>
    <w:tmpl w:val="56B2496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cs="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cs="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cs="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2">
    <w:nsid w:val="00000002"/>
    <w:multiLevelType w:val="hybridMultilevel"/>
    <w:tmpl w:val="26A874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00000003"/>
    <w:multiLevelType w:val="hybridMultilevel"/>
    <w:tmpl w:val="25B865D0"/>
    <w:lvl w:ilvl="0" w:tplc="F4C2522A">
      <w:start w:val="1"/>
      <w:numFmt w:val="bullet"/>
      <w:lvlText w:val=""/>
      <w:lvlJc w:val="left"/>
      <w:pPr>
        <w:ind w:left="720" w:hanging="360"/>
      </w:pPr>
      <w:rPr>
        <w:rFonts w:ascii="Symbol" w:hAnsi="Symbol" w:hint="default"/>
        <w:color w:val="365f91"/>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4DB2086A"/>
    <w:lvl w:ilvl="0" w:tplc="F4C2522A">
      <w:start w:val="1"/>
      <w:numFmt w:val="bullet"/>
      <w:lvlText w:val=""/>
      <w:lvlJc w:val="left"/>
      <w:pPr>
        <w:ind w:left="720" w:hanging="360"/>
      </w:pPr>
      <w:rPr>
        <w:rFonts w:ascii="Symbol" w:hAnsi="Symbol" w:hint="default"/>
        <w:color w:val="365f91"/>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A3CB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6"/>
    <w:multiLevelType w:val="hybridMultilevel"/>
    <w:tmpl w:val="4A9E03EA"/>
    <w:lvl w:ilvl="0" w:tplc="F4C2522A">
      <w:start w:val="1"/>
      <w:numFmt w:val="bullet"/>
      <w:lvlText w:val=""/>
      <w:lvlJc w:val="left"/>
      <w:pPr>
        <w:ind w:left="720" w:hanging="360"/>
      </w:pPr>
      <w:rPr>
        <w:rFonts w:ascii="Symbol" w:hAnsi="Symbol" w:hint="default"/>
        <w:color w:val="365f91"/>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2CB6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8"/>
    <w:multiLevelType w:val="hybridMultilevel"/>
    <w:tmpl w:val="40B84AAC"/>
    <w:lvl w:ilvl="0" w:tplc="04090001">
      <w:start w:val="1"/>
      <w:numFmt w:val="bullet"/>
      <w:lvlText w:val=""/>
      <w:lvlJc w:val="left"/>
      <w:pPr>
        <w:ind w:left="720" w:hanging="360"/>
      </w:pPr>
      <w:rPr>
        <w:rFonts w:ascii="Symbol" w:hAnsi="Symbol" w:hint="default"/>
        <w:b w:val="false"/>
        <w:bCs w:val="false"/>
        <w:i w:val="false"/>
        <w:iCs w:val="false"/>
        <w:color w:val="000000"/>
        <w:sz w:val="20"/>
        <w:szCs w:val="20"/>
        <w:u w:val="none"/>
        <w:effect w:val="none"/>
      </w:rPr>
    </w:lvl>
    <w:lvl w:ilvl="1">
      <w:start w:val="1"/>
      <w:numFmt w:val="bullet"/>
      <w:lvlText w:val="○"/>
      <w:lvlJc w:val="left"/>
      <w:pPr>
        <w:tabs>
          <w:tab w:val="left" w:leader="none" w:pos="0"/>
        </w:tabs>
        <w:ind w:left="1080" w:firstLine="0"/>
      </w:pPr>
      <w:rPr>
        <w:rFonts w:ascii="Courier New" w:cs="Courier New" w:eastAsia="Courier New" w:hAnsi="Courier New"/>
        <w:b w:val="false"/>
        <w:bCs w:val="false"/>
        <w:i w:val="false"/>
        <w:iCs w:val="false"/>
        <w:color w:val="000000"/>
        <w:sz w:val="20"/>
        <w:szCs w:val="20"/>
        <w:u w:val="none"/>
        <w:effect w:val="none"/>
      </w:rPr>
    </w:lvl>
    <w:lvl w:ilvl="2">
      <w:start w:val="1"/>
      <w:numFmt w:val="bullet"/>
      <w:lvlText w:val="■"/>
      <w:lvlJc w:val="right"/>
      <w:pPr>
        <w:tabs>
          <w:tab w:val="left" w:leader="none" w:pos="0"/>
        </w:tabs>
        <w:ind w:left="1800" w:firstLine="180"/>
      </w:pPr>
      <w:rPr>
        <w:rFonts w:ascii="Verdana" w:cs="Verdana" w:eastAsia="Verdana" w:hAnsi="Verdana"/>
        <w:b w:val="false"/>
        <w:bCs w:val="false"/>
        <w:i w:val="false"/>
        <w:iCs w:val="false"/>
        <w:color w:val="000000"/>
        <w:sz w:val="20"/>
        <w:szCs w:val="20"/>
        <w:u w:val="none"/>
        <w:effect w:val="none"/>
      </w:rPr>
    </w:lvl>
    <w:lvl w:ilvl="3">
      <w:start w:val="1"/>
      <w:numFmt w:val="bullet"/>
      <w:lvlText w:val="●"/>
      <w:lvlJc w:val="left"/>
      <w:pPr>
        <w:tabs>
          <w:tab w:val="left" w:leader="none" w:pos="0"/>
        </w:tabs>
        <w:ind w:left="2520" w:firstLine="0"/>
      </w:pPr>
      <w:rPr>
        <w:rFonts w:ascii="Verdana" w:cs="Verdana" w:eastAsia="Verdana" w:hAnsi="Verdana"/>
        <w:b w:val="false"/>
        <w:bCs w:val="false"/>
        <w:i w:val="false"/>
        <w:iCs w:val="false"/>
        <w:color w:val="000000"/>
        <w:sz w:val="20"/>
        <w:szCs w:val="20"/>
        <w:u w:val="none"/>
        <w:effect w:val="none"/>
      </w:rPr>
    </w:lvl>
    <w:lvl w:ilvl="4">
      <w:start w:val="1"/>
      <w:numFmt w:val="bullet"/>
      <w:lvlText w:val="○"/>
      <w:lvlJc w:val="left"/>
      <w:pPr>
        <w:tabs>
          <w:tab w:val="left" w:leader="none" w:pos="0"/>
        </w:tabs>
        <w:ind w:left="3240" w:firstLine="0"/>
      </w:pPr>
      <w:rPr>
        <w:rFonts w:ascii="Courier New" w:cs="Courier New" w:eastAsia="Courier New" w:hAnsi="Courier New"/>
        <w:b w:val="false"/>
        <w:bCs w:val="false"/>
        <w:i w:val="false"/>
        <w:iCs w:val="false"/>
        <w:color w:val="000000"/>
        <w:sz w:val="20"/>
        <w:szCs w:val="20"/>
        <w:u w:val="none"/>
        <w:effect w:val="none"/>
      </w:rPr>
    </w:lvl>
    <w:lvl w:ilvl="5">
      <w:start w:val="1"/>
      <w:numFmt w:val="bullet"/>
      <w:lvlText w:val="■"/>
      <w:lvlJc w:val="right"/>
      <w:pPr>
        <w:tabs>
          <w:tab w:val="left" w:leader="none" w:pos="0"/>
        </w:tabs>
        <w:ind w:left="3960" w:firstLine="180"/>
      </w:pPr>
      <w:rPr>
        <w:rFonts w:ascii="Verdana" w:cs="Verdana" w:eastAsia="Verdana" w:hAnsi="Verdana"/>
        <w:b w:val="false"/>
        <w:bCs w:val="false"/>
        <w:i w:val="false"/>
        <w:iCs w:val="false"/>
        <w:color w:val="000000"/>
        <w:sz w:val="20"/>
        <w:szCs w:val="20"/>
        <w:u w:val="none"/>
        <w:effect w:val="none"/>
      </w:rPr>
    </w:lvl>
    <w:lvl w:ilvl="6">
      <w:start w:val="1"/>
      <w:numFmt w:val="bullet"/>
      <w:lvlText w:val="●"/>
      <w:lvlJc w:val="left"/>
      <w:pPr>
        <w:tabs>
          <w:tab w:val="left" w:leader="none" w:pos="0"/>
        </w:tabs>
        <w:ind w:left="4680" w:firstLine="0"/>
      </w:pPr>
      <w:rPr>
        <w:rFonts w:ascii="Verdana" w:cs="Verdana" w:eastAsia="Verdana" w:hAnsi="Verdana"/>
        <w:b w:val="false"/>
        <w:bCs w:val="false"/>
        <w:i w:val="false"/>
        <w:iCs w:val="false"/>
        <w:color w:val="000000"/>
        <w:sz w:val="20"/>
        <w:szCs w:val="20"/>
        <w:u w:val="none"/>
        <w:effect w:val="none"/>
      </w:rPr>
    </w:lvl>
    <w:lvl w:ilvl="7">
      <w:start w:val="1"/>
      <w:numFmt w:val="bullet"/>
      <w:lvlText w:val="○"/>
      <w:lvlJc w:val="left"/>
      <w:pPr>
        <w:tabs>
          <w:tab w:val="left" w:leader="none" w:pos="0"/>
        </w:tabs>
        <w:ind w:left="5400" w:firstLine="0"/>
      </w:pPr>
      <w:rPr>
        <w:rFonts w:ascii="Courier New" w:cs="Courier New" w:eastAsia="Courier New" w:hAnsi="Courier New"/>
        <w:b w:val="false"/>
        <w:bCs w:val="false"/>
        <w:i w:val="false"/>
        <w:iCs w:val="false"/>
        <w:color w:val="000000"/>
        <w:sz w:val="20"/>
        <w:szCs w:val="20"/>
        <w:u w:val="none"/>
        <w:effect w:val="none"/>
      </w:rPr>
    </w:lvl>
    <w:lvl w:ilvl="8">
      <w:start w:val="1"/>
      <w:numFmt w:val="bullet"/>
      <w:lvlText w:val="■"/>
      <w:lvlJc w:val="right"/>
      <w:pPr>
        <w:tabs>
          <w:tab w:val="left" w:leader="none" w:pos="0"/>
        </w:tabs>
        <w:ind w:left="6120" w:firstLine="180"/>
      </w:pPr>
      <w:rPr>
        <w:rFonts w:ascii="Verdana" w:cs="Verdana" w:eastAsia="Verdana" w:hAnsi="Verdana"/>
        <w:b w:val="false"/>
        <w:bCs w:val="false"/>
        <w:i w:val="false"/>
        <w:iCs w:val="false"/>
        <w:color w:val="000000"/>
        <w:sz w:val="20"/>
        <w:szCs w:val="20"/>
        <w:u w:val="none"/>
        <w:effect w:val="none"/>
      </w:rPr>
    </w:lvl>
  </w:abstractNum>
  <w:abstractNum w:abstractNumId="9">
    <w:nsid w:val="00000009"/>
    <w:multiLevelType w:val="hybridMultilevel"/>
    <w:tmpl w:val="09BE1C48"/>
    <w:lvl w:ilvl="0" w:tplc="F4C2522A">
      <w:start w:val="1"/>
      <w:numFmt w:val="bullet"/>
      <w:lvlText w:val=""/>
      <w:lvlJc w:val="left"/>
      <w:pPr>
        <w:ind w:left="720" w:hanging="360"/>
      </w:pPr>
      <w:rPr>
        <w:rFonts w:ascii="Symbol" w:hAnsi="Symbol" w:hint="default"/>
        <w:color w:val="365f91"/>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B096D760"/>
    <w:lvl w:ilvl="0">
      <w:start w:val="1"/>
      <w:numFmt w:val="bullet"/>
      <w:pStyle w:val="style48"/>
      <w:lvlText w:val=""/>
      <w:lvlJc w:val="left"/>
      <w:pPr>
        <w:ind w:left="360" w:hanging="360"/>
      </w:pPr>
      <w:rPr>
        <w:rFonts w:ascii="Symbol" w:hAnsi="Symbol" w:hint="default"/>
        <w:color w:val="4f81bd"/>
        <w:sz w:val="24"/>
      </w:rPr>
    </w:lvl>
    <w:lvl w:ilvl="1">
      <w:start w:val="1"/>
      <w:numFmt w:val="bullet"/>
      <w:lvlText w:val="o"/>
      <w:lvlJc w:val="left"/>
      <w:pPr>
        <w:ind w:left="720" w:hanging="360"/>
      </w:pPr>
      <w:rPr>
        <w:rFonts w:ascii="Courier New" w:cs="Times New Roman" w:hAnsi="Courier New" w:hint="default"/>
        <w:color w:val="4f81bd"/>
      </w:rPr>
    </w:lvl>
    <w:lvl w:ilvl="2">
      <w:start w:val="1"/>
      <w:numFmt w:val="bullet"/>
      <w:lvlText w:val=""/>
      <w:lvlJc w:val="left"/>
      <w:pPr>
        <w:ind w:left="1080" w:hanging="360"/>
      </w:pPr>
      <w:rPr>
        <w:rFonts w:ascii="Wingdings" w:hAnsi="Wingdings" w:hint="default"/>
        <w:color w:val="4f81bd"/>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cs="Times New Roman"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cs="Times New Roman" w:hAnsi="Courier New" w:hint="default"/>
      </w:rPr>
    </w:lvl>
    <w:lvl w:ilvl="8">
      <w:start w:val="1"/>
      <w:numFmt w:val="bullet"/>
      <w:lvlText w:val=""/>
      <w:lvlJc w:val="left"/>
      <w:pPr>
        <w:ind w:left="3240" w:hanging="360"/>
      </w:pPr>
      <w:rPr>
        <w:rFonts w:ascii="Wingdings" w:hAnsi="Wingdings" w:hint="default"/>
      </w:rPr>
    </w:lvl>
  </w:abstractNum>
  <w:abstractNum w:abstractNumId="11">
    <w:nsid w:val="0000000B"/>
    <w:multiLevelType w:val="multilevel"/>
    <w:tmpl w:val="E0967F96"/>
    <w:lvl w:ilvl="0">
      <w:start w:val="1"/>
      <w:numFmt w:val="bullet"/>
      <w:lvlText w:val="●"/>
      <w:lvlJc w:val="left"/>
      <w:pPr>
        <w:ind w:left="360" w:hanging="360"/>
      </w:pPr>
      <w:rPr>
        <w:rFonts w:ascii="Noto Sans Symbols" w:cs="Noto Sans Symbols" w:eastAsia="Noto Sans Symbols" w:hAnsi="Noto Sans Symbols"/>
        <w:color w:val="007fab"/>
        <w:sz w:val="24"/>
        <w:szCs w:val="24"/>
      </w:rPr>
    </w:lvl>
    <w:lvl w:ilvl="1">
      <w:start w:val="1"/>
      <w:numFmt w:val="bullet"/>
      <w:lvlText w:val="o"/>
      <w:lvlJc w:val="left"/>
      <w:pPr>
        <w:ind w:left="720" w:hanging="360"/>
      </w:pPr>
      <w:rPr>
        <w:rFonts w:ascii="Courier New" w:cs="Courier New" w:eastAsia="Courier New" w:hAnsi="Courier New"/>
        <w:color w:val="007fab"/>
      </w:rPr>
    </w:lvl>
    <w:lvl w:ilvl="2">
      <w:start w:val="1"/>
      <w:numFmt w:val="bullet"/>
      <w:lvlText w:val="▪"/>
      <w:lvlJc w:val="left"/>
      <w:pPr>
        <w:ind w:left="1080" w:hanging="360"/>
      </w:pPr>
      <w:rPr>
        <w:rFonts w:ascii="Noto Sans Symbols" w:cs="Noto Sans Symbols" w:eastAsia="Noto Sans Symbols" w:hAnsi="Noto Sans Symbols"/>
        <w:color w:val="007fab"/>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2880" w:hanging="360"/>
      </w:pPr>
      <w:rPr>
        <w:rFonts w:ascii="Courier New" w:cs="Courier New" w:eastAsia="Courier New" w:hAnsi="Courier New"/>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12">
    <w:nsid w:val="0000000C"/>
    <w:multiLevelType w:val="hybridMultilevel"/>
    <w:tmpl w:val="7FA0AE24"/>
    <w:lvl w:ilvl="0" w:tplc="F4C2522A">
      <w:start w:val="1"/>
      <w:numFmt w:val="bullet"/>
      <w:lvlText w:val=""/>
      <w:lvlJc w:val="left"/>
      <w:pPr>
        <w:ind w:left="1080" w:hanging="360"/>
      </w:pPr>
      <w:rPr>
        <w:rFonts w:ascii="Symbol" w:hAnsi="Symbol" w:hint="default"/>
        <w:color w:val="365f91"/>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0000000D"/>
    <w:multiLevelType w:val="hybridMultilevel"/>
    <w:tmpl w:val="BB66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000000E"/>
    <w:multiLevelType w:val="hybridMultilevel"/>
    <w:tmpl w:val="34D08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C3F8A5B4"/>
    <w:lvl w:ilvl="0" w:tplc="F4C2522A">
      <w:start w:val="1"/>
      <w:numFmt w:val="bullet"/>
      <w:lvlText w:val=""/>
      <w:lvlJc w:val="left"/>
      <w:pPr>
        <w:ind w:left="1080" w:hanging="360"/>
      </w:pPr>
      <w:rPr>
        <w:rFonts w:ascii="Symbol" w:hAnsi="Symbol" w:hint="default"/>
        <w:color w:val="365f91"/>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00000010"/>
    <w:multiLevelType w:val="hybridMultilevel"/>
    <w:tmpl w:val="51947F2E"/>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7">
    <w:nsid w:val="00000011"/>
    <w:multiLevelType w:val="hybridMultilevel"/>
    <w:tmpl w:val="E2324F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00000012"/>
    <w:multiLevelType w:val="hybridMultilevel"/>
    <w:tmpl w:val="BC1AAF4E"/>
    <w:lvl w:ilvl="0" w:tplc="F4C2522A">
      <w:start w:val="1"/>
      <w:numFmt w:val="bullet"/>
      <w:lvlText w:val=""/>
      <w:lvlJc w:val="left"/>
      <w:pPr>
        <w:ind w:left="720" w:hanging="360"/>
      </w:pPr>
      <w:rPr>
        <w:rFonts w:ascii="Symbol" w:hAnsi="Symbol" w:hint="default"/>
        <w:color w:val="365f91"/>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70E43EBA"/>
    <w:lvl w:ilvl="0" w:tplc="F4C2522A">
      <w:start w:val="1"/>
      <w:numFmt w:val="bullet"/>
      <w:lvlText w:val=""/>
      <w:lvlJc w:val="left"/>
      <w:pPr>
        <w:ind w:left="720" w:hanging="360"/>
      </w:pPr>
      <w:rPr>
        <w:rFonts w:ascii="Symbol" w:hAnsi="Symbol" w:hint="default"/>
        <w:color w:val="365f91"/>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0ADCDABE"/>
    <w:lvl w:ilvl="0" w:tplc="9A3A0F2C">
      <w:start w:val="1"/>
      <w:numFmt w:val="bullet"/>
      <w:lvlText w:val="•"/>
      <w:lvlJc w:val="left"/>
      <w:pPr>
        <w:ind w:left="720" w:hanging="360"/>
      </w:pPr>
      <w:rPr>
        <w:rFonts w:ascii="Calibri" w:cs="Times New Roman" w:eastAsia="Times New Roman" w:hAnsi="Calibri"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00000015"/>
    <w:multiLevelType w:val="hybridMultilevel"/>
    <w:tmpl w:val="3CF291BC"/>
    <w:lvl w:ilvl="0" w:tplc="F4C2522A">
      <w:start w:val="1"/>
      <w:numFmt w:val="bullet"/>
      <w:lvlText w:val=""/>
      <w:lvlJc w:val="left"/>
      <w:pPr>
        <w:ind w:left="1080" w:hanging="360"/>
      </w:pPr>
      <w:rPr>
        <w:rFonts w:ascii="Symbol" w:hAnsi="Symbol" w:hint="default"/>
        <w:color w:val="365f91"/>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00000016"/>
    <w:multiLevelType w:val="multilevel"/>
    <w:tmpl w:val="A9E0619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num w:numId="1">
    <w:abstractNumId w:val="10"/>
  </w:num>
  <w:num w:numId="2">
    <w:abstractNumId w:val="12"/>
  </w:num>
  <w:num w:numId="3">
    <w:abstractNumId w:val="19"/>
  </w:num>
  <w:num w:numId="4">
    <w:abstractNumId w:val="20"/>
  </w:num>
  <w:num w:numId="5">
    <w:abstractNumId w:val="4"/>
  </w:num>
  <w:num w:numId="6">
    <w:abstractNumId w:val="3"/>
  </w:num>
  <w:num w:numId="7">
    <w:abstractNumId w:val="9"/>
  </w:num>
  <w:num w:numId="8">
    <w:abstractNumId w:val="10"/>
  </w:num>
  <w:num w:numId="9">
    <w:abstractNumId w:val="10"/>
  </w:num>
  <w:num w:numId="10">
    <w:abstractNumId w:val="14"/>
  </w:num>
  <w:num w:numId="11">
    <w:abstractNumId w:val="11"/>
  </w:num>
  <w:num w:numId="12">
    <w:abstractNumId w:val="22"/>
  </w:num>
  <w:num w:numId="13">
    <w:abstractNumId w:val="5"/>
  </w:num>
  <w:num w:numId="14">
    <w:abstractNumId w:val="7"/>
  </w:num>
  <w:num w:numId="15">
    <w:abstractNumId w:val="8"/>
  </w:num>
  <w:num w:numId="16">
    <w:abstractNumId w:val="13"/>
  </w:num>
  <w:num w:numId="17">
    <w:abstractNumId w:val="16"/>
  </w:num>
  <w:num w:numId="18">
    <w:abstractNumId w:val="18"/>
  </w:num>
  <w:num w:numId="19">
    <w:abstractNumId w:val="6"/>
  </w:num>
  <w:num w:numId="20">
    <w:abstractNumId w:val="15"/>
  </w:num>
  <w:num w:numId="21">
    <w:abstractNumId w:val="2"/>
  </w:num>
  <w:num w:numId="22">
    <w:abstractNumId w:val="2"/>
  </w:num>
  <w:num w:numId="23">
    <w:abstractNumId w:val="17"/>
  </w:num>
  <w:num w:numId="24">
    <w:abstractNumId w:val="1"/>
  </w:num>
  <w:num w:numId="25">
    <w:abstractNumId w:val="21"/>
  </w:num>
  <w:num w:numId="2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0"/>
    <w:link w:val="style4099"/>
    <w:pPr>
      <w:keepNext/>
      <w:keepLines/>
      <w:pBdr>
        <w:left w:val="nil"/>
        <w:right w:val="nil"/>
        <w:top w:val="nil"/>
        <w:bottom w:val="nil"/>
        <w:between w:val="nil"/>
      </w:pBdr>
      <w:spacing w:after="40" w:lineRule="auto" w:line="240"/>
      <w:outlineLvl w:val="1"/>
      <w:contextualSpacing/>
    </w:pPr>
    <w:rPr>
      <w:rFonts w:ascii="Rockwell" w:cs="Rockwell" w:eastAsia="Rockwell" w:hAnsi="Rockwell"/>
      <w:b/>
      <w:color w:val="007fab"/>
      <w:sz w:val="32"/>
      <w:szCs w:val="32"/>
      <w:lang w:val="en-US"/>
    </w:rPr>
  </w:style>
  <w:style w:type="paragraph" w:styleId="style3">
    <w:name w:val="heading 3"/>
    <w:basedOn w:val="style0"/>
    <w:next w:val="style0"/>
    <w:link w:val="style4100"/>
    <w:pPr>
      <w:keepNext/>
      <w:keepLines/>
      <w:pBdr>
        <w:left w:val="nil"/>
        <w:right w:val="nil"/>
        <w:top w:val="nil"/>
        <w:bottom w:val="nil"/>
        <w:between w:val="nil"/>
      </w:pBdr>
      <w:spacing w:after="0" w:lineRule="auto" w:line="240"/>
      <w:outlineLvl w:val="2"/>
      <w:contextualSpacing/>
    </w:pPr>
    <w:rPr>
      <w:rFonts w:ascii="Calibri" w:cs="Calibri" w:eastAsia="Calibri" w:hAnsi="Calibri"/>
      <w:smallCaps/>
      <w:color w:val="595959"/>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link w:val="style4102"/>
    <w:qFormat/>
    <w:pPr>
      <w:ind w:left="720"/>
      <w:contextualSpacing/>
    </w:pPr>
    <w:rPr/>
  </w:style>
  <w:style w:type="paragraph" w:customStyle="1" w:styleId="style4098">
    <w:name w:val="Paragraph Style 2"/>
    <w:basedOn w:val="style0"/>
    <w:next w:val="style4098"/>
    <w:uiPriority w:val="99"/>
    <w:pPr>
      <w:widowControl w:val="false"/>
      <w:suppressAutoHyphens/>
      <w:autoSpaceDE w:val="false"/>
      <w:autoSpaceDN w:val="false"/>
      <w:adjustRightInd w:val="false"/>
      <w:spacing w:after="0" w:lineRule="atLeast" w:line="180"/>
    </w:pPr>
    <w:rPr>
      <w:rFonts w:ascii="Aller-Bold" w:cs="Aller-Bold" w:eastAsia="宋体" w:hAnsi="Aller-Bold"/>
      <w:color w:val="000000"/>
      <w:spacing w:val="12"/>
      <w:sz w:val="14"/>
      <w:szCs w:val="14"/>
      <w:lang w:val="en-US"/>
    </w:rPr>
  </w:style>
  <w:style w:type="paragraph" w:styleId="style48">
    <w:name w:val="List Bullet"/>
    <w:basedOn w:val="style0"/>
    <w:next w:val="style48"/>
    <w:qFormat/>
    <w:uiPriority w:val="10"/>
    <w:pPr>
      <w:numPr>
        <w:ilvl w:val="0"/>
        <w:numId w:val="1"/>
      </w:numPr>
      <w:spacing w:after="0" w:lineRule="auto" w:line="240"/>
      <w:contextualSpacing/>
    </w:pPr>
    <w:rPr>
      <w:color w:val="595959"/>
      <w:lang w:val="en-US"/>
    </w:rPr>
  </w:style>
  <w:style w:type="character" w:customStyle="1" w:styleId="style4099">
    <w:name w:val="Heading 2 Char_2a98dafb-853a-45e9-925d-fa7e7130850b"/>
    <w:basedOn w:val="style65"/>
    <w:next w:val="style4099"/>
    <w:link w:val="style2"/>
    <w:rPr>
      <w:rFonts w:ascii="Rockwell" w:cs="Rockwell" w:eastAsia="Rockwell" w:hAnsi="Rockwell"/>
      <w:b/>
      <w:color w:val="007fab"/>
      <w:sz w:val="32"/>
      <w:szCs w:val="32"/>
      <w:lang w:val="en-US"/>
    </w:rPr>
  </w:style>
  <w:style w:type="character" w:customStyle="1" w:styleId="style4100">
    <w:name w:val="Heading 3 Char_c4a057ad-43e0-40a2-a854-2da4ef390b3e"/>
    <w:basedOn w:val="style65"/>
    <w:next w:val="style4100"/>
    <w:link w:val="style3"/>
    <w:rPr>
      <w:rFonts w:ascii="Calibri" w:cs="Calibri" w:eastAsia="Calibri" w:hAnsi="Calibri"/>
      <w:smallCaps/>
      <w:color w:val="595959"/>
      <w:lang w:val="en-US"/>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lang w:val="en-US"/>
    </w:rPr>
  </w:style>
  <w:style w:type="character" w:customStyle="1" w:styleId="style4101">
    <w:name w:val="Normal (Web) Char"/>
    <w:next w:val="style4101"/>
    <w:link w:val="style94"/>
    <w:rPr>
      <w:rFonts w:ascii="Times New Roman" w:cs="Times New Roman" w:eastAsia="Times New Roman" w:hAnsi="Times New Roman"/>
    </w:rPr>
  </w:style>
  <w:style w:type="paragraph" w:styleId="style94">
    <w:name w:val="Normal (Web)"/>
    <w:basedOn w:val="style0"/>
    <w:next w:val="style94"/>
    <w:link w:val="style4101"/>
    <w:pPr>
      <w:spacing w:before="100" w:beforeAutospacing="true" w:after="100" w:afterAutospacing="true" w:lineRule="auto" w:line="240"/>
    </w:pPr>
    <w:rPr>
      <w:rFonts w:ascii="Times New Roman" w:cs="Times New Roman" w:eastAsia="Times New Roman" w:hAnsi="Times New Roman"/>
    </w:rPr>
  </w:style>
  <w:style w:type="character" w:customStyle="1" w:styleId="style4102">
    <w:name w:val="List Paragraph Char"/>
    <w:next w:val="style4102"/>
    <w:link w:val="style179"/>
    <w:uiPriority w:val="34"/>
  </w:style>
  <w:style w:type="paragraph" w:customStyle="1" w:styleId="style4103">
    <w:name w:val="Default"/>
    <w:next w:val="style4103"/>
    <w:pPr>
      <w:autoSpaceDE w:val="false"/>
      <w:autoSpaceDN w:val="false"/>
      <w:adjustRightInd w:val="false"/>
      <w:spacing w:after="0" w:lineRule="auto" w:line="240"/>
    </w:pPr>
    <w:rPr>
      <w:rFonts w:ascii="Symbol" w:cs="Symbol" w:hAnsi="Symbol"/>
      <w:color w:val="000000"/>
      <w:sz w:val="24"/>
      <w:szCs w:val="24"/>
    </w:rPr>
  </w:style>
  <w:style w:type="paragraph" w:customStyle="1" w:styleId="style4104">
    <w:name w:val="Preformatted Text"/>
    <w:basedOn w:val="style0"/>
    <w:next w:val="style4104"/>
    <w:pPr>
      <w:widowControl w:val="false"/>
      <w:suppressAutoHyphens/>
      <w:adjustRightInd w:val="false"/>
      <w:spacing w:after="0" w:lineRule="atLeast" w:line="360"/>
      <w:jc w:val="both"/>
    </w:pPr>
    <w:rPr>
      <w:rFonts w:ascii="Courier New" w:cs="Courier New" w:eastAsia="Courier New" w:hAnsi="Courier New"/>
      <w:sz w:val="20"/>
      <w:szCs w:val="20"/>
      <w:lang w:val="en-US" w:eastAsia="en-IN"/>
    </w:rPr>
  </w:style>
  <w:style w:type="paragraph" w:styleId="style81">
    <w:name w:val="Body Text 3"/>
    <w:basedOn w:val="style0"/>
    <w:next w:val="style81"/>
    <w:link w:val="style4105"/>
    <w:pPr>
      <w:widowControl w:val="false"/>
      <w:suppressAutoHyphens/>
      <w:adjustRightInd w:val="false"/>
      <w:spacing w:after="120" w:lineRule="atLeast" w:line="360"/>
      <w:jc w:val="both"/>
    </w:pPr>
    <w:rPr>
      <w:rFonts w:ascii="Times New Roman" w:cs="Times New Roman" w:eastAsia="Lucida Sans Unicode" w:hAnsi="Times New Roman"/>
      <w:sz w:val="16"/>
      <w:szCs w:val="16"/>
      <w:lang w:eastAsia="en-IN"/>
    </w:rPr>
  </w:style>
  <w:style w:type="character" w:customStyle="1" w:styleId="style4105">
    <w:name w:val="Body Text 3 Char"/>
    <w:basedOn w:val="style65"/>
    <w:next w:val="style4105"/>
    <w:link w:val="style81"/>
    <w:rPr>
      <w:rFonts w:ascii="Times New Roman" w:cs="Times New Roman" w:eastAsia="Lucida Sans Unicode" w:hAnsi="Times New Roman"/>
      <w:sz w:val="16"/>
      <w:szCs w:val="16"/>
      <w:lang w:eastAsia="en-IN"/>
    </w:rPr>
  </w:style>
  <w:style w:type="character" w:customStyle="1" w:styleId="style4106">
    <w:name w:val="Unresolved Mention"/>
    <w:basedOn w:val="style65"/>
    <w:next w:val="style4106"/>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4605-7F07-4DD5-8955-588B4AB9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830</Words>
  <Pages>2</Pages>
  <Characters>4854</Characters>
  <Application>WPS Office</Application>
  <DocSecurity>0</DocSecurity>
  <Paragraphs>85</Paragraphs>
  <ScaleCrop>false</ScaleCrop>
  <LinksUpToDate>false</LinksUpToDate>
  <CharactersWithSpaces>5634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2020-09-19T06:32:55Z</dcterms:created>
  <dc:creator>Santosh Vysyaraju</dc:creator>
  <lastModifiedBy>Redmi Note 5 Pro</lastModifiedBy>
  <lastPrinted>2020-08-10T14:48:00Z</lastPrinted>
  <dcterms:modified xsi:type="dcterms:W3CDTF">2020-09-19T06:32:56Z</dcterms:modified>
  <revision>52</revision>
</coreProperties>
</file>

<file path=docProps/custom.xml><?xml version="1.0" encoding="utf-8"?>
<Properties xmlns="http://schemas.openxmlformats.org/officeDocument/2006/custom-properties" xmlns:vt="http://schemas.openxmlformats.org/officeDocument/2006/docPropsVTypes"/>
</file>