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56" w:rsidRPr="001D006D" w:rsidRDefault="00C6095C" w:rsidP="00663C58">
      <w:pPr>
        <w:spacing w:line="240" w:lineRule="auto"/>
        <w:jc w:val="center"/>
        <w:rPr>
          <w:rFonts w:ascii="Baskerville Old Face" w:hAnsi="Baskerville Old Face" w:cs="Times New Roman"/>
          <w:b/>
          <w:color w:val="000000" w:themeColor="text1"/>
          <w:sz w:val="36"/>
          <w:szCs w:val="36"/>
        </w:rPr>
      </w:pPr>
      <w:r w:rsidRPr="001D006D">
        <w:rPr>
          <w:rFonts w:ascii="Baskerville Old Face" w:hAnsi="Baskerville Old Face" w:cs="Times New Roman"/>
          <w:b/>
          <w:color w:val="000000" w:themeColor="text1"/>
          <w:sz w:val="36"/>
          <w:szCs w:val="36"/>
        </w:rPr>
        <w:t>D RAVI TEJA</w:t>
      </w:r>
    </w:p>
    <w:p w:rsidR="00F30A56" w:rsidRPr="001D006D" w:rsidRDefault="00AF03D3" w:rsidP="0016075F">
      <w:pPr>
        <w:shd w:val="clear" w:color="auto" w:fill="FFFFFF" w:themeFill="background1"/>
        <w:spacing w:line="240" w:lineRule="auto"/>
        <w:rPr>
          <w:rFonts w:ascii="Baskerville Old Face" w:hAnsi="Baskerville Old Face" w:cs="Times New Roman"/>
          <w:color w:val="000000" w:themeColor="text1"/>
          <w:sz w:val="28"/>
          <w:szCs w:val="28"/>
        </w:rPr>
      </w:pPr>
      <w:hyperlink r:id="rId9" w:history="1">
        <w:r w:rsidR="004C3AD8" w:rsidRPr="001D006D">
          <w:rPr>
            <w:rStyle w:val="Hyperlink"/>
            <w:rFonts w:ascii="Arial" w:hAnsi="Arial" w:cs="Arial"/>
            <w:color w:val="000000" w:themeColor="text1"/>
            <w:sz w:val="24"/>
            <w:szCs w:val="24"/>
          </w:rPr>
          <w:t>ravi96.teja@gmail.com</w:t>
        </w:r>
      </w:hyperlink>
      <w:r w:rsidR="0016075F" w:rsidRPr="001D006D">
        <w:rPr>
          <w:rStyle w:val="Hyperlink"/>
          <w:rFonts w:ascii="Baskerville Old Face" w:hAnsi="Baskerville Old Face" w:cs="Times New Roman"/>
          <w:color w:val="000000" w:themeColor="text1"/>
          <w:sz w:val="28"/>
          <w:szCs w:val="28"/>
          <w:u w:val="none"/>
        </w:rPr>
        <w:t xml:space="preserve">               </w:t>
      </w:r>
      <w:r w:rsidR="0016075F" w:rsidRPr="001D006D">
        <w:rPr>
          <w:color w:val="000000" w:themeColor="text1"/>
        </w:rPr>
        <w:t xml:space="preserve">                                                                  </w:t>
      </w:r>
      <w:r w:rsidR="00A3576B" w:rsidRPr="001D006D">
        <w:rPr>
          <w:color w:val="000000" w:themeColor="text1"/>
        </w:rPr>
        <w:t xml:space="preserve">              </w:t>
      </w:r>
      <w:r w:rsidR="00A3576B" w:rsidRPr="001D006D">
        <w:rPr>
          <w:rFonts w:ascii="Arial" w:hAnsi="Arial" w:cs="Arial"/>
          <w:b/>
          <w:color w:val="000000" w:themeColor="text1"/>
          <w:sz w:val="24"/>
          <w:szCs w:val="24"/>
          <w:u w:val="single"/>
        </w:rPr>
        <w:t xml:space="preserve"> </w:t>
      </w:r>
      <w:r w:rsidR="0016075F" w:rsidRPr="001D006D">
        <w:rPr>
          <w:rFonts w:ascii="Arial" w:hAnsi="Arial" w:cs="Arial"/>
          <w:b/>
          <w:color w:val="000000" w:themeColor="text1"/>
          <w:sz w:val="24"/>
          <w:szCs w:val="24"/>
          <w:u w:val="single"/>
        </w:rPr>
        <w:t>M</w:t>
      </w:r>
      <w:r w:rsidR="00A3576B" w:rsidRPr="001D006D">
        <w:rPr>
          <w:rFonts w:ascii="Arial" w:hAnsi="Arial" w:cs="Arial"/>
          <w:b/>
          <w:color w:val="000000" w:themeColor="text1"/>
          <w:sz w:val="24"/>
          <w:szCs w:val="24"/>
          <w:u w:val="single"/>
        </w:rPr>
        <w:t>:</w:t>
      </w:r>
      <w:r w:rsidR="0016075F" w:rsidRPr="001D006D">
        <w:rPr>
          <w:rFonts w:ascii="Arial" w:hAnsi="Arial" w:cs="Arial"/>
          <w:b/>
          <w:color w:val="000000" w:themeColor="text1"/>
          <w:sz w:val="24"/>
          <w:szCs w:val="24"/>
          <w:u w:val="single"/>
        </w:rPr>
        <w:t xml:space="preserve"> 99597390</w:t>
      </w:r>
      <w:r w:rsidR="00A3576B" w:rsidRPr="001D006D">
        <w:rPr>
          <w:rFonts w:ascii="Arial" w:hAnsi="Arial" w:cs="Arial"/>
          <w:b/>
          <w:color w:val="000000" w:themeColor="text1"/>
          <w:sz w:val="24"/>
          <w:szCs w:val="24"/>
          <w:u w:val="single"/>
        </w:rPr>
        <w:t>3</w:t>
      </w:r>
      <w:r w:rsidR="007F7A66" w:rsidRPr="001D006D">
        <w:rPr>
          <w:rFonts w:ascii="Arial" w:hAnsi="Arial" w:cs="Arial"/>
          <w:b/>
          <w:color w:val="000000" w:themeColor="text1"/>
          <w:sz w:val="24"/>
          <w:szCs w:val="24"/>
          <w:u w:val="single"/>
        </w:rPr>
        <w:t>4</w:t>
      </w:r>
      <w:r>
        <w:rPr>
          <w:rFonts w:ascii="Arial" w:hAnsi="Arial" w:cs="Arial"/>
          <w:b/>
          <w:color w:val="000000" w:themeColor="text1"/>
          <w:sz w:val="30"/>
          <w:szCs w:val="30"/>
        </w:rPr>
        <w:pict>
          <v:rect id="_x0000_i1025" style="width:0;height:1.5pt" o:hralign="center" o:hrstd="t" o:hr="t" fillcolor="#a0a0a0" stroked="f"/>
        </w:pict>
      </w:r>
    </w:p>
    <w:p w:rsidR="0016075F" w:rsidRPr="003C5C5E" w:rsidRDefault="00F30A56" w:rsidP="003C5C5E">
      <w:pPr>
        <w:ind w:right="-90"/>
        <w:jc w:val="both"/>
        <w:rPr>
          <w:rFonts w:ascii="Arial" w:hAnsi="Arial" w:cs="Arial"/>
          <w:color w:val="000000" w:themeColor="text1"/>
          <w:sz w:val="20"/>
          <w:szCs w:val="20"/>
        </w:rPr>
      </w:pPr>
      <w:r w:rsidRPr="001D006D">
        <w:rPr>
          <w:rFonts w:ascii="Arial" w:hAnsi="Arial" w:cs="Arial"/>
          <w:color w:val="000000" w:themeColor="text1"/>
          <w:sz w:val="20"/>
          <w:szCs w:val="20"/>
        </w:rPr>
        <w:t xml:space="preserve">Intend to </w:t>
      </w:r>
      <w:r w:rsidR="008A4EAB" w:rsidRPr="001D006D">
        <w:rPr>
          <w:rFonts w:ascii="Arial" w:hAnsi="Arial" w:cs="Arial"/>
          <w:color w:val="000000" w:themeColor="text1"/>
          <w:sz w:val="20"/>
          <w:szCs w:val="20"/>
        </w:rPr>
        <w:t xml:space="preserve">acquire a position with adequate opportunities </w:t>
      </w:r>
      <w:r w:rsidR="006C278F" w:rsidRPr="001D006D">
        <w:rPr>
          <w:rFonts w:ascii="Arial" w:hAnsi="Arial" w:cs="Arial"/>
          <w:color w:val="000000" w:themeColor="text1"/>
          <w:sz w:val="20"/>
          <w:szCs w:val="20"/>
        </w:rPr>
        <w:t xml:space="preserve">where I can </w:t>
      </w:r>
      <w:r w:rsidR="00CB48EC" w:rsidRPr="001D006D">
        <w:rPr>
          <w:rFonts w:ascii="Arial" w:hAnsi="Arial" w:cs="Arial"/>
          <w:color w:val="000000" w:themeColor="text1"/>
          <w:sz w:val="20"/>
          <w:szCs w:val="20"/>
        </w:rPr>
        <w:t>dedicatedly render</w:t>
      </w:r>
      <w:r w:rsidR="006C278F" w:rsidRPr="001D006D">
        <w:rPr>
          <w:rFonts w:ascii="Arial" w:hAnsi="Arial" w:cs="Arial"/>
          <w:color w:val="000000" w:themeColor="text1"/>
          <w:sz w:val="20"/>
          <w:szCs w:val="20"/>
        </w:rPr>
        <w:t xml:space="preserve"> my skills those required for the rapid growth of the organization and al</w:t>
      </w:r>
      <w:r w:rsidR="008A4EAB" w:rsidRPr="001D006D">
        <w:rPr>
          <w:rFonts w:ascii="Arial" w:hAnsi="Arial" w:cs="Arial"/>
          <w:color w:val="000000" w:themeColor="text1"/>
          <w:sz w:val="20"/>
          <w:szCs w:val="20"/>
        </w:rPr>
        <w:t xml:space="preserve">so helps me grow professionally. </w:t>
      </w:r>
      <w:r w:rsidR="00AF03D3">
        <w:rPr>
          <w:rFonts w:ascii="Times New Roman" w:hAnsi="Times New Roman" w:cs="Times New Roman"/>
          <w:b/>
          <w:color w:val="000000" w:themeColor="text1"/>
          <w:sz w:val="28"/>
          <w:szCs w:val="28"/>
        </w:rPr>
        <w:pict>
          <v:rect id="_x0000_i1026" style="width:0;height:1.5pt" o:hralign="center" o:hrstd="t" o:hr="t" fillcolor="#a0a0a0" stroked="f"/>
        </w:pict>
      </w:r>
    </w:p>
    <w:p w:rsidR="0016075F" w:rsidRPr="001D006D" w:rsidRDefault="0016075F" w:rsidP="00EC5AA3">
      <w:pPr>
        <w:ind w:right="-90"/>
        <w:jc w:val="center"/>
        <w:rPr>
          <w:rFonts w:ascii="Times New Roman" w:hAnsi="Times New Roman" w:cs="Times New Roman"/>
          <w:b/>
          <w:color w:val="000000" w:themeColor="text1"/>
          <w:sz w:val="28"/>
          <w:szCs w:val="28"/>
        </w:rPr>
      </w:pPr>
      <w:r w:rsidRPr="001D006D">
        <w:rPr>
          <w:rFonts w:ascii="Baskerville Old Face" w:hAnsi="Baskerville Old Face" w:cs="Times New Roman"/>
          <w:b/>
          <w:color w:val="000000" w:themeColor="text1"/>
          <w:sz w:val="28"/>
          <w:szCs w:val="28"/>
        </w:rPr>
        <w:t>WORK EXPERIENCE</w:t>
      </w:r>
    </w:p>
    <w:p w:rsidR="0016075F" w:rsidRPr="001D006D" w:rsidRDefault="0016075F" w:rsidP="00EC5AA3">
      <w:pPr>
        <w:ind w:right="-90"/>
        <w:jc w:val="both"/>
        <w:rPr>
          <w:rFonts w:ascii="Times New Roman" w:hAnsi="Times New Roman" w:cs="Times New Roman"/>
          <w:b/>
          <w:color w:val="000000" w:themeColor="text1"/>
          <w:sz w:val="24"/>
          <w:szCs w:val="24"/>
        </w:rPr>
      </w:pPr>
      <w:r w:rsidRPr="001D006D">
        <w:rPr>
          <w:rFonts w:ascii="Arial" w:hAnsi="Arial" w:cs="Arial"/>
          <w:b/>
          <w:color w:val="000000" w:themeColor="text1"/>
          <w:sz w:val="24"/>
          <w:szCs w:val="24"/>
        </w:rPr>
        <w:t>Executive</w:t>
      </w:r>
    </w:p>
    <w:p w:rsidR="0016075F" w:rsidRDefault="0016075F" w:rsidP="00EC5AA3">
      <w:pPr>
        <w:ind w:right="-90"/>
        <w:jc w:val="both"/>
        <w:rPr>
          <w:rFonts w:ascii="Times New Roman" w:hAnsi="Times New Roman" w:cs="Times New Roman"/>
          <w:b/>
          <w:color w:val="000000" w:themeColor="text1"/>
        </w:rPr>
      </w:pPr>
      <w:r w:rsidRPr="001D006D">
        <w:rPr>
          <w:rFonts w:ascii="Arial" w:hAnsi="Arial" w:cs="Arial"/>
          <w:b/>
          <w:color w:val="000000" w:themeColor="text1"/>
        </w:rPr>
        <w:t>BSR &amp; Co LLP</w:t>
      </w:r>
      <w:r w:rsidR="00E43CB8">
        <w:rPr>
          <w:rFonts w:ascii="Arial" w:hAnsi="Arial" w:cs="Arial"/>
          <w:b/>
          <w:color w:val="000000" w:themeColor="text1"/>
        </w:rPr>
        <w:t xml:space="preserve"> </w:t>
      </w:r>
      <w:r w:rsidR="00E43CB8" w:rsidRPr="00E43CB8">
        <w:rPr>
          <w:rFonts w:ascii="Arial" w:hAnsi="Arial" w:cs="Arial"/>
          <w:b/>
          <w:color w:val="000000" w:themeColor="text1"/>
        </w:rPr>
        <w:t>(0</w:t>
      </w:r>
      <w:r w:rsidR="006E2CC8">
        <w:rPr>
          <w:rFonts w:ascii="Arial" w:hAnsi="Arial" w:cs="Arial"/>
          <w:b/>
          <w:color w:val="000000" w:themeColor="text1"/>
        </w:rPr>
        <w:t>4</w:t>
      </w:r>
      <w:r w:rsidR="00E43CB8" w:rsidRPr="00E43CB8">
        <w:rPr>
          <w:rFonts w:ascii="Arial" w:hAnsi="Arial" w:cs="Arial"/>
          <w:b/>
          <w:color w:val="000000" w:themeColor="text1"/>
        </w:rPr>
        <w:t>/201</w:t>
      </w:r>
      <w:r w:rsidR="006E2CC8">
        <w:rPr>
          <w:rFonts w:ascii="Arial" w:hAnsi="Arial" w:cs="Arial"/>
          <w:b/>
          <w:color w:val="000000" w:themeColor="text1"/>
        </w:rPr>
        <w:t>7</w:t>
      </w:r>
      <w:r w:rsidR="00E43CB8" w:rsidRPr="00E43CB8">
        <w:rPr>
          <w:rFonts w:ascii="Arial" w:hAnsi="Arial" w:cs="Arial"/>
          <w:b/>
          <w:color w:val="000000" w:themeColor="text1"/>
        </w:rPr>
        <w:t xml:space="preserve"> – </w:t>
      </w:r>
      <w:r w:rsidR="00E43CB8">
        <w:rPr>
          <w:rFonts w:ascii="Arial" w:hAnsi="Arial" w:cs="Arial"/>
          <w:b/>
          <w:color w:val="000000" w:themeColor="text1"/>
        </w:rPr>
        <w:t>03/</w:t>
      </w:r>
      <w:r w:rsidR="00E43CB8" w:rsidRPr="00E43CB8">
        <w:rPr>
          <w:rFonts w:ascii="Arial" w:hAnsi="Arial" w:cs="Arial"/>
          <w:b/>
          <w:color w:val="000000" w:themeColor="text1"/>
        </w:rPr>
        <w:t>2020</w:t>
      </w:r>
      <w:r w:rsidR="00E43CB8" w:rsidRPr="00E43CB8">
        <w:rPr>
          <w:rFonts w:ascii="Times New Roman" w:hAnsi="Times New Roman" w:cs="Times New Roman"/>
          <w:b/>
          <w:color w:val="000000" w:themeColor="text1"/>
        </w:rPr>
        <w:t>)</w:t>
      </w:r>
    </w:p>
    <w:p w:rsidR="00F83757" w:rsidRPr="0058364D" w:rsidRDefault="00F83757" w:rsidP="00F83757">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 xml:space="preserve">Billing of invoices based on Service Level Agreements (SLA) and tracking them till payments </w:t>
      </w:r>
      <w:r>
        <w:rPr>
          <w:rFonts w:ascii="Arial" w:hAnsi="Arial" w:cs="Arial"/>
          <w:color w:val="000000" w:themeColor="text1"/>
          <w:sz w:val="20"/>
          <w:szCs w:val="20"/>
        </w:rPr>
        <w:t xml:space="preserve">(ageing analysis) </w:t>
      </w:r>
      <w:r w:rsidRPr="001D006D">
        <w:rPr>
          <w:rFonts w:ascii="Arial" w:hAnsi="Arial" w:cs="Arial"/>
          <w:color w:val="000000" w:themeColor="text1"/>
          <w:sz w:val="20"/>
          <w:szCs w:val="20"/>
        </w:rPr>
        <w:t>and application.</w:t>
      </w:r>
    </w:p>
    <w:p w:rsidR="00F83757" w:rsidRPr="001D006D" w:rsidRDefault="00F83757" w:rsidP="00F83757">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Liaison with requisite departments for orders and quotations.</w:t>
      </w:r>
    </w:p>
    <w:p w:rsidR="00F83757" w:rsidRPr="00F83757" w:rsidRDefault="00F83757" w:rsidP="00F83757">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Maintain risk profile of various clienteles and raise flags to concerned teams as and when necessary</w:t>
      </w:r>
    </w:p>
    <w:p w:rsidR="00B5762E" w:rsidRDefault="00B5762E" w:rsidP="00B5762E">
      <w:pPr>
        <w:pStyle w:val="ListParagraph"/>
        <w:numPr>
          <w:ilvl w:val="0"/>
          <w:numId w:val="9"/>
        </w:numPr>
        <w:ind w:left="360" w:right="-90"/>
        <w:jc w:val="both"/>
        <w:rPr>
          <w:rFonts w:ascii="Arial" w:hAnsi="Arial" w:cs="Arial"/>
          <w:color w:val="000000" w:themeColor="text1"/>
          <w:sz w:val="20"/>
          <w:szCs w:val="20"/>
        </w:rPr>
      </w:pPr>
      <w:r w:rsidRPr="003C5C5E">
        <w:rPr>
          <w:rFonts w:ascii="Arial" w:hAnsi="Arial" w:cs="Arial"/>
          <w:color w:val="000000" w:themeColor="text1"/>
          <w:sz w:val="20"/>
          <w:szCs w:val="20"/>
        </w:rPr>
        <w:t>Proficient with GST compliances (GSTR-1, GSTR-3B, GSTR-9, GSTR-9C) and Service Tax (ST-3) compliances.</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 xml:space="preserve">Possess working knowledge of regular compliances under STPI Scheme (like Annual Performance Reports, Quarterly Performance Reports, Monthly Performance Reports, SOFTEX, SERF) </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Familiar with obtaining of registrations under various statues like GST, VAT, Professional Tax, Software Technology Parks of India (STPI) etc.</w:t>
      </w:r>
    </w:p>
    <w:p w:rsidR="00B5762E"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Experienced with refund procedures under Service Tax and GST regimes.</w:t>
      </w:r>
    </w:p>
    <w:p w:rsidR="00B5762E"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Assisted clientele with filing of monthly returns under Value Added Tax (VAT) and Professional Tax.</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Assisted clientele with respect to Merchandise Export from India Scheme (MEIS), Service Export from India Scheme (SEIS), and Export Promotion Capital Goods (EPCG) schemes as per the Foreign Trade Policy and successfully obtained the benefits.</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Possess good working knowledge in Due Diligence assignments</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Good exposure in drafting replies to departmental notices, appear before judicial authorities for subject matters and liaison for adjudicating orders.</w:t>
      </w:r>
    </w:p>
    <w:p w:rsidR="00B5762E" w:rsidRPr="001D006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Experience in performing Health Check assignments.</w:t>
      </w:r>
    </w:p>
    <w:p w:rsidR="00B5762E" w:rsidRPr="0058364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Familiar in assisting clientele with filing of requisite forms with Special Valuation Branch (SVB) as per Customs Law.</w:t>
      </w:r>
      <w:r w:rsidRPr="0058364D">
        <w:rPr>
          <w:rFonts w:ascii="Arial" w:hAnsi="Arial" w:cs="Arial"/>
          <w:color w:val="000000" w:themeColor="text1"/>
          <w:sz w:val="20"/>
          <w:szCs w:val="20"/>
        </w:rPr>
        <w:t xml:space="preserve">  </w:t>
      </w:r>
    </w:p>
    <w:p w:rsidR="00B5762E" w:rsidRDefault="00B5762E" w:rsidP="00B5762E">
      <w:pPr>
        <w:pStyle w:val="ListParagraph"/>
        <w:numPr>
          <w:ilvl w:val="0"/>
          <w:numId w:val="9"/>
        </w:numPr>
        <w:ind w:left="360" w:right="-90"/>
        <w:jc w:val="both"/>
        <w:rPr>
          <w:rFonts w:ascii="Arial" w:hAnsi="Arial" w:cs="Arial"/>
          <w:color w:val="000000" w:themeColor="text1"/>
          <w:sz w:val="20"/>
          <w:szCs w:val="20"/>
        </w:rPr>
      </w:pPr>
      <w:r w:rsidRPr="0058364D">
        <w:rPr>
          <w:rFonts w:ascii="Arial" w:hAnsi="Arial" w:cs="Arial"/>
          <w:color w:val="000000" w:themeColor="text1"/>
          <w:sz w:val="20"/>
          <w:szCs w:val="20"/>
        </w:rPr>
        <w:t>Worked on impact assessments for clientele of manufacturing and service sectors from GST perspective.</w:t>
      </w:r>
    </w:p>
    <w:p w:rsidR="00B5762E" w:rsidRPr="0058364D" w:rsidRDefault="00B5762E" w:rsidP="00B5762E">
      <w:pPr>
        <w:pStyle w:val="ListParagraph"/>
        <w:numPr>
          <w:ilvl w:val="0"/>
          <w:numId w:val="9"/>
        </w:numPr>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Assisted clientele with opinions in confirmation with respective statues.</w:t>
      </w:r>
    </w:p>
    <w:p w:rsidR="00B5762E" w:rsidRPr="001D006D" w:rsidRDefault="00B5762E" w:rsidP="00B5762E">
      <w:pPr>
        <w:ind w:right="-90"/>
        <w:jc w:val="both"/>
        <w:rPr>
          <w:rFonts w:ascii="Arial" w:hAnsi="Arial" w:cs="Arial"/>
          <w:b/>
          <w:color w:val="000000" w:themeColor="text1"/>
          <w:sz w:val="24"/>
          <w:szCs w:val="24"/>
        </w:rPr>
      </w:pPr>
      <w:r w:rsidRPr="001D006D">
        <w:rPr>
          <w:rFonts w:ascii="Arial" w:hAnsi="Arial" w:cs="Arial"/>
          <w:b/>
          <w:color w:val="000000" w:themeColor="text1"/>
          <w:sz w:val="24"/>
          <w:szCs w:val="24"/>
        </w:rPr>
        <w:t>Article Trainee</w:t>
      </w:r>
    </w:p>
    <w:p w:rsidR="00B5762E" w:rsidRPr="00E43CB8" w:rsidRDefault="00B5762E" w:rsidP="00B5762E">
      <w:pPr>
        <w:ind w:right="-90"/>
        <w:jc w:val="both"/>
        <w:rPr>
          <w:rFonts w:ascii="Arial" w:hAnsi="Arial" w:cs="Arial"/>
          <w:b/>
          <w:color w:val="000000" w:themeColor="text1"/>
        </w:rPr>
      </w:pPr>
      <w:r w:rsidRPr="001D006D">
        <w:rPr>
          <w:rFonts w:ascii="Arial" w:hAnsi="Arial" w:cs="Arial"/>
          <w:b/>
          <w:color w:val="000000" w:themeColor="text1"/>
        </w:rPr>
        <w:t xml:space="preserve">Kumar </w:t>
      </w:r>
      <w:r>
        <w:rPr>
          <w:rFonts w:ascii="Arial" w:hAnsi="Arial" w:cs="Arial"/>
          <w:b/>
          <w:color w:val="000000" w:themeColor="text1"/>
        </w:rPr>
        <w:t>and Giri Chartered Accountants (08/</w:t>
      </w:r>
      <w:r w:rsidRPr="00E43CB8">
        <w:rPr>
          <w:rFonts w:ascii="Arial" w:hAnsi="Arial" w:cs="Arial"/>
          <w:b/>
          <w:color w:val="000000" w:themeColor="text1"/>
        </w:rPr>
        <w:t xml:space="preserve">2016 – </w:t>
      </w:r>
      <w:r>
        <w:rPr>
          <w:rFonts w:ascii="Arial" w:hAnsi="Arial" w:cs="Arial"/>
          <w:b/>
          <w:color w:val="000000" w:themeColor="text1"/>
        </w:rPr>
        <w:t>03/</w:t>
      </w:r>
      <w:r w:rsidRPr="00E43CB8">
        <w:rPr>
          <w:rFonts w:ascii="Arial" w:hAnsi="Arial" w:cs="Arial"/>
          <w:b/>
          <w:color w:val="000000" w:themeColor="text1"/>
        </w:rPr>
        <w:t>2017</w:t>
      </w:r>
      <w:r>
        <w:rPr>
          <w:rFonts w:ascii="Arial" w:hAnsi="Arial" w:cs="Arial"/>
          <w:b/>
          <w:color w:val="000000" w:themeColor="text1"/>
        </w:rPr>
        <w:t>)</w:t>
      </w:r>
    </w:p>
    <w:p w:rsidR="00B5762E" w:rsidRDefault="00B5762E" w:rsidP="00B5762E">
      <w:pPr>
        <w:pStyle w:val="ListParagraph"/>
        <w:numPr>
          <w:ilvl w:val="0"/>
          <w:numId w:val="11"/>
        </w:numPr>
        <w:tabs>
          <w:tab w:val="left" w:pos="360"/>
        </w:tabs>
        <w:ind w:left="360" w:right="-90"/>
        <w:jc w:val="both"/>
        <w:rPr>
          <w:rFonts w:ascii="Arial" w:hAnsi="Arial" w:cs="Arial"/>
          <w:color w:val="000000" w:themeColor="text1"/>
          <w:sz w:val="20"/>
          <w:szCs w:val="20"/>
        </w:rPr>
      </w:pPr>
      <w:r>
        <w:rPr>
          <w:rFonts w:ascii="Arial" w:hAnsi="Arial" w:cs="Arial"/>
          <w:color w:val="000000" w:themeColor="text1"/>
          <w:sz w:val="20"/>
          <w:szCs w:val="20"/>
        </w:rPr>
        <w:t xml:space="preserve">Experienced with </w:t>
      </w:r>
      <w:r w:rsidRPr="001D006D">
        <w:rPr>
          <w:rFonts w:ascii="Arial" w:hAnsi="Arial" w:cs="Arial"/>
          <w:color w:val="000000" w:themeColor="text1"/>
          <w:sz w:val="20"/>
          <w:szCs w:val="20"/>
        </w:rPr>
        <w:t xml:space="preserve">filing </w:t>
      </w:r>
      <w:r>
        <w:rPr>
          <w:rFonts w:ascii="Arial" w:hAnsi="Arial" w:cs="Arial"/>
          <w:color w:val="000000" w:themeColor="text1"/>
          <w:sz w:val="20"/>
          <w:szCs w:val="20"/>
        </w:rPr>
        <w:t xml:space="preserve">of </w:t>
      </w:r>
      <w:r w:rsidRPr="001D006D">
        <w:rPr>
          <w:rFonts w:ascii="Arial" w:hAnsi="Arial" w:cs="Arial"/>
          <w:color w:val="000000" w:themeColor="text1"/>
          <w:sz w:val="20"/>
          <w:szCs w:val="20"/>
        </w:rPr>
        <w:t xml:space="preserve">Income Tax Returns for all types of </w:t>
      </w:r>
      <w:r>
        <w:rPr>
          <w:rFonts w:ascii="Arial" w:hAnsi="Arial" w:cs="Arial"/>
          <w:color w:val="000000" w:themeColor="text1"/>
          <w:sz w:val="20"/>
          <w:szCs w:val="20"/>
        </w:rPr>
        <w:t xml:space="preserve">persons. </w:t>
      </w:r>
    </w:p>
    <w:p w:rsidR="00B5762E" w:rsidRDefault="00B5762E" w:rsidP="00B5762E">
      <w:pPr>
        <w:pStyle w:val="ListParagraph"/>
        <w:numPr>
          <w:ilvl w:val="0"/>
          <w:numId w:val="11"/>
        </w:numPr>
        <w:tabs>
          <w:tab w:val="left" w:pos="360"/>
        </w:tabs>
        <w:ind w:left="360" w:right="-90"/>
        <w:jc w:val="both"/>
        <w:rPr>
          <w:rFonts w:ascii="Arial" w:hAnsi="Arial" w:cs="Arial"/>
          <w:color w:val="000000" w:themeColor="text1"/>
          <w:sz w:val="20"/>
          <w:szCs w:val="20"/>
        </w:rPr>
      </w:pPr>
      <w:r>
        <w:rPr>
          <w:rFonts w:ascii="Arial" w:hAnsi="Arial" w:cs="Arial"/>
          <w:color w:val="000000" w:themeColor="text1"/>
          <w:sz w:val="20"/>
          <w:szCs w:val="20"/>
        </w:rPr>
        <w:t>Familiar in filing of ROC forms as per Companies Act 2013.</w:t>
      </w:r>
    </w:p>
    <w:p w:rsidR="00980D52" w:rsidRPr="00980D52" w:rsidRDefault="00980D52" w:rsidP="00980D52">
      <w:pPr>
        <w:pStyle w:val="ListParagraph"/>
        <w:numPr>
          <w:ilvl w:val="0"/>
          <w:numId w:val="11"/>
        </w:numPr>
        <w:tabs>
          <w:tab w:val="left" w:pos="360"/>
        </w:tabs>
        <w:ind w:left="360" w:right="-90"/>
        <w:jc w:val="both"/>
        <w:rPr>
          <w:rFonts w:ascii="Arial" w:hAnsi="Arial" w:cs="Arial"/>
          <w:color w:val="000000" w:themeColor="text1"/>
          <w:sz w:val="20"/>
          <w:szCs w:val="20"/>
        </w:rPr>
      </w:pPr>
      <w:r>
        <w:rPr>
          <w:rFonts w:ascii="Arial" w:hAnsi="Arial" w:cs="Arial"/>
          <w:color w:val="000000" w:themeColor="text1"/>
          <w:sz w:val="20"/>
          <w:szCs w:val="20"/>
        </w:rPr>
        <w:t>Possess abstract knowledge of TDS &amp; TCS and have strong accounting knowledge.</w:t>
      </w:r>
    </w:p>
    <w:p w:rsidR="00B5762E" w:rsidRDefault="00B5762E" w:rsidP="00B5762E">
      <w:pPr>
        <w:pStyle w:val="ListParagraph"/>
        <w:numPr>
          <w:ilvl w:val="0"/>
          <w:numId w:val="11"/>
        </w:numPr>
        <w:tabs>
          <w:tab w:val="left" w:pos="360"/>
        </w:tabs>
        <w:ind w:left="360" w:right="-90"/>
        <w:jc w:val="both"/>
        <w:rPr>
          <w:rFonts w:ascii="Arial" w:hAnsi="Arial" w:cs="Arial"/>
          <w:color w:val="000000" w:themeColor="text1"/>
          <w:sz w:val="20"/>
          <w:szCs w:val="20"/>
        </w:rPr>
      </w:pPr>
      <w:r w:rsidRPr="001D006D">
        <w:rPr>
          <w:rFonts w:ascii="Arial" w:hAnsi="Arial" w:cs="Arial"/>
          <w:color w:val="000000" w:themeColor="text1"/>
          <w:sz w:val="20"/>
          <w:szCs w:val="20"/>
        </w:rPr>
        <w:t xml:space="preserve">Acquired critical skills </w:t>
      </w:r>
      <w:r>
        <w:rPr>
          <w:rFonts w:ascii="Arial" w:hAnsi="Arial" w:cs="Arial"/>
          <w:color w:val="000000" w:themeColor="text1"/>
          <w:sz w:val="20"/>
          <w:szCs w:val="20"/>
        </w:rPr>
        <w:t>i</w:t>
      </w:r>
      <w:r w:rsidRPr="001D006D">
        <w:rPr>
          <w:rFonts w:ascii="Arial" w:hAnsi="Arial" w:cs="Arial"/>
          <w:color w:val="000000" w:themeColor="text1"/>
          <w:sz w:val="20"/>
          <w:szCs w:val="20"/>
        </w:rPr>
        <w:t>n respect of Accounting and Book Keeping services (Tally ERP)</w:t>
      </w:r>
      <w:r>
        <w:rPr>
          <w:rFonts w:ascii="Arial" w:hAnsi="Arial" w:cs="Arial"/>
          <w:color w:val="000000" w:themeColor="text1"/>
          <w:sz w:val="20"/>
          <w:szCs w:val="20"/>
        </w:rPr>
        <w:t>.</w:t>
      </w:r>
    </w:p>
    <w:p w:rsidR="00B5762E" w:rsidRDefault="00B5762E" w:rsidP="00B5762E">
      <w:pPr>
        <w:pStyle w:val="ListParagraph"/>
        <w:numPr>
          <w:ilvl w:val="0"/>
          <w:numId w:val="11"/>
        </w:numPr>
        <w:tabs>
          <w:tab w:val="left" w:pos="360"/>
        </w:tabs>
        <w:ind w:left="360" w:right="-90"/>
        <w:jc w:val="both"/>
        <w:rPr>
          <w:rFonts w:ascii="Arial" w:hAnsi="Arial" w:cs="Arial"/>
          <w:color w:val="000000" w:themeColor="text1"/>
          <w:sz w:val="20"/>
          <w:szCs w:val="20"/>
        </w:rPr>
      </w:pPr>
      <w:r>
        <w:rPr>
          <w:rFonts w:ascii="Arial" w:hAnsi="Arial" w:cs="Arial"/>
          <w:color w:val="000000" w:themeColor="text1"/>
          <w:sz w:val="20"/>
          <w:szCs w:val="20"/>
        </w:rPr>
        <w:t>Actively involved in verification procedures as part of annual statutory audit.</w:t>
      </w:r>
    </w:p>
    <w:p w:rsidR="00DB6C29" w:rsidRPr="00EC52CB" w:rsidRDefault="00DB6C29" w:rsidP="00EC52CB">
      <w:pPr>
        <w:pStyle w:val="ListParagraph"/>
        <w:tabs>
          <w:tab w:val="left" w:pos="360"/>
        </w:tabs>
        <w:ind w:left="360" w:right="-90"/>
        <w:jc w:val="center"/>
        <w:rPr>
          <w:rFonts w:ascii="Arial" w:hAnsi="Arial" w:cs="Arial"/>
          <w:color w:val="000000" w:themeColor="text1"/>
          <w:sz w:val="20"/>
          <w:szCs w:val="20"/>
        </w:rPr>
      </w:pPr>
      <w:r w:rsidRPr="00EC52CB">
        <w:rPr>
          <w:rFonts w:ascii="Baskerville Old Face" w:hAnsi="Baskerville Old Face" w:cs="Times New Roman"/>
          <w:b/>
          <w:color w:val="000000" w:themeColor="text1"/>
          <w:sz w:val="28"/>
          <w:szCs w:val="28"/>
        </w:rPr>
        <w:lastRenderedPageBreak/>
        <w:t>EDUCATION</w:t>
      </w:r>
    </w:p>
    <w:tbl>
      <w:tblPr>
        <w:tblStyle w:val="TableGrid"/>
        <w:tblW w:w="0" w:type="auto"/>
        <w:jc w:val="right"/>
        <w:tblLook w:val="04A0" w:firstRow="1" w:lastRow="0" w:firstColumn="1" w:lastColumn="0" w:noHBand="0" w:noVBand="1"/>
      </w:tblPr>
      <w:tblGrid>
        <w:gridCol w:w="4788"/>
        <w:gridCol w:w="4788"/>
      </w:tblGrid>
      <w:tr w:rsidR="009A57B9" w:rsidRPr="00E43CB8" w:rsidTr="00E43CB8">
        <w:trPr>
          <w:jc w:val="right"/>
        </w:trPr>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CA Final</w:t>
            </w:r>
          </w:p>
          <w:p w:rsidR="00E43CB8"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ICAI</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 xml:space="preserve">Appeared for exams </w:t>
            </w:r>
            <w:r w:rsidR="00E43CB8" w:rsidRPr="00695DBF">
              <w:rPr>
                <w:rFonts w:ascii="Arial" w:hAnsi="Arial" w:cs="Arial"/>
                <w:color w:val="000000" w:themeColor="text1"/>
              </w:rPr>
              <w:t xml:space="preserve">- </w:t>
            </w:r>
            <w:r w:rsidRPr="00695DBF">
              <w:rPr>
                <w:rFonts w:ascii="Arial" w:hAnsi="Arial" w:cs="Arial"/>
                <w:color w:val="000000" w:themeColor="text1"/>
              </w:rPr>
              <w:t>11/2020</w:t>
            </w:r>
          </w:p>
        </w:tc>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B.Com (Honors)</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Osmania University</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2014 – 2017 (80%)</w:t>
            </w:r>
          </w:p>
        </w:tc>
      </w:tr>
      <w:tr w:rsidR="009A57B9" w:rsidRPr="00E43CB8" w:rsidTr="00E43CB8">
        <w:trPr>
          <w:jc w:val="right"/>
        </w:trPr>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CA IPCC (CA Inter)</w:t>
            </w:r>
          </w:p>
          <w:p w:rsidR="00E43CB8"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ICAI</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11/2016</w:t>
            </w:r>
            <w:r w:rsidR="00E43CB8" w:rsidRPr="00695DBF">
              <w:rPr>
                <w:rFonts w:ascii="Arial" w:hAnsi="Arial" w:cs="Arial"/>
                <w:color w:val="000000" w:themeColor="text1"/>
              </w:rPr>
              <w:t xml:space="preserve"> – 372</w:t>
            </w:r>
          </w:p>
        </w:tc>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Intermediate</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Board of Intermediate Education</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2012 – 2014 (95%)</w:t>
            </w:r>
          </w:p>
        </w:tc>
      </w:tr>
      <w:tr w:rsidR="009A57B9" w:rsidRPr="00E43CB8" w:rsidTr="00E43CB8">
        <w:trPr>
          <w:jc w:val="right"/>
        </w:trPr>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CA CPT</w:t>
            </w:r>
          </w:p>
          <w:p w:rsidR="00E43CB8"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ICAI</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06/2014</w:t>
            </w:r>
            <w:r w:rsidR="00E43CB8" w:rsidRPr="00695DBF">
              <w:rPr>
                <w:rFonts w:ascii="Arial" w:hAnsi="Arial" w:cs="Arial"/>
                <w:color w:val="000000" w:themeColor="text1"/>
              </w:rPr>
              <w:t xml:space="preserve"> </w:t>
            </w:r>
            <w:r w:rsidR="00EC52CB" w:rsidRPr="00695DBF">
              <w:rPr>
                <w:rFonts w:ascii="Arial" w:hAnsi="Arial" w:cs="Arial"/>
                <w:color w:val="000000" w:themeColor="text1"/>
              </w:rPr>
              <w:t>–</w:t>
            </w:r>
            <w:r w:rsidR="00E43CB8" w:rsidRPr="00695DBF">
              <w:rPr>
                <w:rFonts w:ascii="Arial" w:hAnsi="Arial" w:cs="Arial"/>
                <w:color w:val="000000" w:themeColor="text1"/>
              </w:rPr>
              <w:t xml:space="preserve"> 133</w:t>
            </w:r>
          </w:p>
        </w:tc>
        <w:tc>
          <w:tcPr>
            <w:tcW w:w="4788" w:type="dxa"/>
          </w:tcPr>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S.S.C</w:t>
            </w:r>
          </w:p>
          <w:p w:rsidR="009A57B9" w:rsidRPr="00695DBF" w:rsidRDefault="009A57B9"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Bhashyam High School</w:t>
            </w:r>
          </w:p>
          <w:p w:rsidR="009A57B9" w:rsidRPr="00695DBF" w:rsidRDefault="00E43CB8" w:rsidP="00E43CB8">
            <w:pPr>
              <w:tabs>
                <w:tab w:val="left" w:pos="360"/>
              </w:tabs>
              <w:ind w:right="-90"/>
              <w:jc w:val="both"/>
              <w:rPr>
                <w:rFonts w:ascii="Arial" w:hAnsi="Arial" w:cs="Arial"/>
                <w:color w:val="000000" w:themeColor="text1"/>
              </w:rPr>
            </w:pPr>
            <w:r w:rsidRPr="00695DBF">
              <w:rPr>
                <w:rFonts w:ascii="Arial" w:hAnsi="Arial" w:cs="Arial"/>
                <w:color w:val="000000" w:themeColor="text1"/>
              </w:rPr>
              <w:t>2011-2012 (CGPA – 9.7)</w:t>
            </w:r>
          </w:p>
        </w:tc>
      </w:tr>
    </w:tbl>
    <w:p w:rsidR="00E43CB8" w:rsidRDefault="00E43CB8" w:rsidP="00044839">
      <w:pPr>
        <w:shd w:val="clear" w:color="auto" w:fill="FFFFFF" w:themeFill="background1"/>
        <w:spacing w:line="240" w:lineRule="auto"/>
        <w:rPr>
          <w:rFonts w:ascii="Times New Roman" w:hAnsi="Times New Roman" w:cs="Times New Roman"/>
          <w:b/>
          <w:color w:val="000000" w:themeColor="text1"/>
          <w:sz w:val="28"/>
          <w:szCs w:val="28"/>
        </w:rPr>
      </w:pPr>
    </w:p>
    <w:p w:rsidR="00044839" w:rsidRPr="001D006D" w:rsidRDefault="00AF03D3" w:rsidP="00044839">
      <w:pPr>
        <w:shd w:val="clear" w:color="auto" w:fill="FFFFFF" w:themeFill="background1"/>
        <w:spacing w:line="240" w:lineRule="auto"/>
        <w:rPr>
          <w:rFonts w:ascii="Baskerville Old Face" w:hAnsi="Baskerville Old Face" w:cs="Times New Roman"/>
          <w:color w:val="000000" w:themeColor="text1"/>
          <w:sz w:val="28"/>
          <w:szCs w:val="28"/>
        </w:rPr>
      </w:pPr>
      <w:r>
        <w:rPr>
          <w:rFonts w:ascii="Times New Roman" w:hAnsi="Times New Roman" w:cs="Times New Roman"/>
          <w:b/>
          <w:color w:val="000000" w:themeColor="text1"/>
          <w:sz w:val="28"/>
          <w:szCs w:val="28"/>
        </w:rPr>
        <w:pict>
          <v:rect id="_x0000_i1027" style="width:0;height:1.5pt" o:hralign="center" o:hrstd="t" o:hr="t" fillcolor="#a0a0a0" stroked="f"/>
        </w:pict>
      </w:r>
    </w:p>
    <w:p w:rsidR="00044839" w:rsidRPr="001D006D" w:rsidRDefault="00044839" w:rsidP="00130252">
      <w:pPr>
        <w:tabs>
          <w:tab w:val="left" w:pos="360"/>
        </w:tabs>
        <w:ind w:right="-90"/>
        <w:jc w:val="center"/>
        <w:rPr>
          <w:rFonts w:ascii="Times New Roman" w:hAnsi="Times New Roman" w:cs="Times New Roman"/>
          <w:b/>
          <w:color w:val="000000" w:themeColor="text1"/>
          <w:sz w:val="28"/>
          <w:szCs w:val="28"/>
        </w:rPr>
      </w:pPr>
      <w:r w:rsidRPr="001D006D">
        <w:rPr>
          <w:rFonts w:ascii="Baskerville Old Face" w:hAnsi="Baskerville Old Face" w:cs="Times New Roman"/>
          <w:b/>
          <w:color w:val="000000" w:themeColor="text1"/>
          <w:sz w:val="28"/>
          <w:szCs w:val="28"/>
        </w:rPr>
        <w:t>AWARDS / A</w:t>
      </w:r>
      <w:r w:rsidR="00130252" w:rsidRPr="001D006D">
        <w:rPr>
          <w:rFonts w:ascii="Baskerville Old Face" w:hAnsi="Baskerville Old Face" w:cs="Times New Roman"/>
          <w:b/>
          <w:color w:val="000000" w:themeColor="text1"/>
          <w:sz w:val="28"/>
          <w:szCs w:val="28"/>
        </w:rPr>
        <w:t>C</w:t>
      </w:r>
      <w:r w:rsidRPr="001D006D">
        <w:rPr>
          <w:rFonts w:ascii="Baskerville Old Face" w:hAnsi="Baskerville Old Face" w:cs="Times New Roman"/>
          <w:b/>
          <w:color w:val="000000" w:themeColor="text1"/>
          <w:sz w:val="28"/>
          <w:szCs w:val="28"/>
        </w:rPr>
        <w:t>HIEVEMENTS</w:t>
      </w:r>
      <w:r w:rsidRPr="001D006D">
        <w:rPr>
          <w:rFonts w:ascii="Times New Roman" w:hAnsi="Times New Roman" w:cs="Times New Roman"/>
          <w:b/>
          <w:color w:val="000000" w:themeColor="text1"/>
          <w:sz w:val="28"/>
          <w:szCs w:val="28"/>
        </w:rPr>
        <w:t xml:space="preserve"> </w:t>
      </w:r>
    </w:p>
    <w:p w:rsidR="00044839" w:rsidRPr="00EC52CB" w:rsidRDefault="00044839" w:rsidP="00EC52CB">
      <w:pPr>
        <w:ind w:right="-86"/>
        <w:jc w:val="both"/>
        <w:rPr>
          <w:rFonts w:ascii="Arial" w:hAnsi="Arial" w:cs="Arial"/>
          <w:b/>
          <w:color w:val="000000" w:themeColor="text1"/>
          <w:sz w:val="24"/>
          <w:szCs w:val="24"/>
        </w:rPr>
      </w:pPr>
      <w:r w:rsidRPr="001D006D">
        <w:rPr>
          <w:rFonts w:ascii="Arial" w:hAnsi="Arial" w:cs="Arial"/>
          <w:b/>
          <w:color w:val="000000" w:themeColor="text1"/>
          <w:sz w:val="24"/>
          <w:szCs w:val="24"/>
        </w:rPr>
        <w:t>Kudos Award – BSR &amp; Co LLP</w:t>
      </w:r>
      <w:r w:rsidR="00EC52CB">
        <w:rPr>
          <w:rFonts w:ascii="Arial" w:hAnsi="Arial" w:cs="Arial"/>
          <w:b/>
          <w:color w:val="000000" w:themeColor="text1"/>
          <w:sz w:val="24"/>
          <w:szCs w:val="24"/>
        </w:rPr>
        <w:t xml:space="preserve"> </w:t>
      </w:r>
      <w:r w:rsidR="00EC52CB" w:rsidRPr="00EC52CB">
        <w:rPr>
          <w:rFonts w:ascii="Arial" w:hAnsi="Arial" w:cs="Arial"/>
          <w:b/>
          <w:color w:val="000000" w:themeColor="text1"/>
          <w:sz w:val="24"/>
          <w:szCs w:val="24"/>
        </w:rPr>
        <w:t>(06/</w:t>
      </w:r>
      <w:r w:rsidRPr="00EC52CB">
        <w:rPr>
          <w:rFonts w:ascii="Arial" w:hAnsi="Arial" w:cs="Arial"/>
          <w:b/>
          <w:color w:val="000000" w:themeColor="text1"/>
          <w:sz w:val="24"/>
          <w:szCs w:val="24"/>
        </w:rPr>
        <w:t>2018</w:t>
      </w:r>
      <w:r w:rsidR="00EC52CB" w:rsidRPr="00EC52CB">
        <w:rPr>
          <w:rFonts w:ascii="Arial" w:hAnsi="Arial" w:cs="Arial"/>
          <w:b/>
          <w:color w:val="000000" w:themeColor="text1"/>
          <w:sz w:val="24"/>
          <w:szCs w:val="24"/>
        </w:rPr>
        <w:t>)</w:t>
      </w:r>
    </w:p>
    <w:p w:rsidR="00044839" w:rsidRPr="001D006D" w:rsidRDefault="00695DBF" w:rsidP="00EC52CB">
      <w:pPr>
        <w:ind w:right="-86"/>
        <w:jc w:val="both"/>
        <w:rPr>
          <w:rFonts w:ascii="Arial" w:hAnsi="Arial" w:cs="Arial"/>
          <w:color w:val="000000" w:themeColor="text1"/>
          <w:sz w:val="20"/>
          <w:szCs w:val="20"/>
        </w:rPr>
      </w:pPr>
      <w:r>
        <w:rPr>
          <w:rFonts w:ascii="Arial" w:hAnsi="Arial" w:cs="Arial"/>
          <w:color w:val="000000" w:themeColor="text1"/>
          <w:sz w:val="20"/>
          <w:szCs w:val="20"/>
        </w:rPr>
        <w:t>The award was received</w:t>
      </w:r>
      <w:r w:rsidR="00044839" w:rsidRPr="001D006D">
        <w:rPr>
          <w:rFonts w:ascii="Arial" w:hAnsi="Arial" w:cs="Arial"/>
          <w:color w:val="000000" w:themeColor="text1"/>
          <w:sz w:val="20"/>
          <w:szCs w:val="20"/>
        </w:rPr>
        <w:t xml:space="preserve"> for showing critical commitment and positive attitude </w:t>
      </w:r>
      <w:r>
        <w:rPr>
          <w:rFonts w:ascii="Arial" w:hAnsi="Arial" w:cs="Arial"/>
          <w:color w:val="000000" w:themeColor="text1"/>
          <w:sz w:val="20"/>
          <w:szCs w:val="20"/>
        </w:rPr>
        <w:t xml:space="preserve">under pressure </w:t>
      </w:r>
      <w:r w:rsidR="00044839" w:rsidRPr="001D006D">
        <w:rPr>
          <w:rFonts w:ascii="Arial" w:hAnsi="Arial" w:cs="Arial"/>
          <w:color w:val="000000" w:themeColor="text1"/>
          <w:sz w:val="20"/>
          <w:szCs w:val="20"/>
        </w:rPr>
        <w:t>in r</w:t>
      </w:r>
      <w:r>
        <w:rPr>
          <w:rFonts w:ascii="Arial" w:hAnsi="Arial" w:cs="Arial"/>
          <w:color w:val="000000" w:themeColor="text1"/>
          <w:sz w:val="20"/>
          <w:szCs w:val="20"/>
        </w:rPr>
        <w:t>espect of high profile assignments.</w:t>
      </w:r>
    </w:p>
    <w:p w:rsidR="00044839" w:rsidRPr="001D006D" w:rsidRDefault="00044839" w:rsidP="00EC52CB">
      <w:pPr>
        <w:ind w:right="-86"/>
        <w:jc w:val="both"/>
        <w:rPr>
          <w:rFonts w:ascii="Arial" w:hAnsi="Arial" w:cs="Arial"/>
          <w:b/>
          <w:color w:val="000000" w:themeColor="text1"/>
          <w:sz w:val="24"/>
          <w:szCs w:val="24"/>
        </w:rPr>
      </w:pPr>
      <w:r w:rsidRPr="001D006D">
        <w:rPr>
          <w:rFonts w:ascii="Arial" w:hAnsi="Arial" w:cs="Arial"/>
          <w:b/>
          <w:color w:val="000000" w:themeColor="text1"/>
          <w:sz w:val="24"/>
          <w:szCs w:val="24"/>
        </w:rPr>
        <w:t>The Best Student Award – Osmania University</w:t>
      </w:r>
      <w:r w:rsidR="00EC52CB">
        <w:rPr>
          <w:rFonts w:ascii="Arial" w:hAnsi="Arial" w:cs="Arial"/>
          <w:b/>
          <w:color w:val="000000" w:themeColor="text1"/>
          <w:sz w:val="24"/>
          <w:szCs w:val="24"/>
        </w:rPr>
        <w:t xml:space="preserve"> (08/2015)</w:t>
      </w:r>
    </w:p>
    <w:p w:rsidR="00044839" w:rsidRDefault="00044839" w:rsidP="00EC52CB">
      <w:pPr>
        <w:ind w:right="-86"/>
        <w:jc w:val="both"/>
        <w:rPr>
          <w:rFonts w:ascii="Arial" w:hAnsi="Arial" w:cs="Arial"/>
          <w:color w:val="000000" w:themeColor="text1"/>
          <w:sz w:val="20"/>
          <w:szCs w:val="20"/>
        </w:rPr>
      </w:pPr>
      <w:r w:rsidRPr="001D006D">
        <w:rPr>
          <w:rFonts w:ascii="Arial" w:hAnsi="Arial" w:cs="Arial"/>
          <w:color w:val="000000" w:themeColor="text1"/>
          <w:sz w:val="20"/>
          <w:szCs w:val="20"/>
        </w:rPr>
        <w:t>Secured 1</w:t>
      </w:r>
      <w:r w:rsidRPr="001D006D">
        <w:rPr>
          <w:rFonts w:ascii="Arial" w:hAnsi="Arial" w:cs="Arial"/>
          <w:color w:val="000000" w:themeColor="text1"/>
          <w:sz w:val="20"/>
          <w:szCs w:val="20"/>
          <w:vertAlign w:val="superscript"/>
        </w:rPr>
        <w:t>st</w:t>
      </w:r>
      <w:r w:rsidRPr="001D006D">
        <w:rPr>
          <w:rFonts w:ascii="Arial" w:hAnsi="Arial" w:cs="Arial"/>
          <w:color w:val="000000" w:themeColor="text1"/>
          <w:sz w:val="20"/>
          <w:szCs w:val="20"/>
        </w:rPr>
        <w:t xml:space="preserve"> Rank in Quantitative Techniques paper during the academic year 2014 – 15</w:t>
      </w:r>
    </w:p>
    <w:p w:rsidR="00044839" w:rsidRPr="001D006D" w:rsidRDefault="00AF03D3" w:rsidP="00044839">
      <w:pPr>
        <w:shd w:val="clear" w:color="auto" w:fill="FFFFFF" w:themeFill="background1"/>
        <w:spacing w:line="240" w:lineRule="auto"/>
        <w:rPr>
          <w:rFonts w:ascii="Baskerville Old Face" w:hAnsi="Baskerville Old Face" w:cs="Times New Roman"/>
          <w:color w:val="000000" w:themeColor="text1"/>
          <w:sz w:val="28"/>
          <w:szCs w:val="28"/>
        </w:rPr>
      </w:pPr>
      <w:r>
        <w:rPr>
          <w:rFonts w:ascii="Times New Roman" w:hAnsi="Times New Roman" w:cs="Times New Roman"/>
          <w:b/>
          <w:color w:val="000000" w:themeColor="text1"/>
          <w:sz w:val="28"/>
          <w:szCs w:val="28"/>
        </w:rPr>
        <w:pict>
          <v:rect id="_x0000_i1028" style="width:0;height:1.5pt" o:hralign="center" o:hrstd="t" o:hr="t" fillcolor="#a0a0a0" stroked="f"/>
        </w:pict>
      </w:r>
    </w:p>
    <w:p w:rsidR="00044839" w:rsidRPr="001D006D" w:rsidRDefault="00044839" w:rsidP="00130252">
      <w:pPr>
        <w:spacing w:line="360" w:lineRule="auto"/>
        <w:ind w:right="-86"/>
        <w:jc w:val="center"/>
        <w:rPr>
          <w:rFonts w:ascii="Times New Roman" w:hAnsi="Times New Roman" w:cs="Times New Roman"/>
          <w:color w:val="000000" w:themeColor="text1"/>
          <w:sz w:val="28"/>
          <w:szCs w:val="28"/>
        </w:rPr>
      </w:pPr>
      <w:r w:rsidRPr="001D006D">
        <w:rPr>
          <w:rFonts w:ascii="Baskerville Old Face" w:hAnsi="Baskerville Old Face" w:cs="Times New Roman"/>
          <w:b/>
          <w:color w:val="000000" w:themeColor="text1"/>
          <w:sz w:val="28"/>
          <w:szCs w:val="28"/>
        </w:rPr>
        <w:t>PROJECTS / PAPERS PRESENTED</w:t>
      </w:r>
      <w:r w:rsidRPr="001D006D">
        <w:rPr>
          <w:rFonts w:ascii="Times New Roman" w:hAnsi="Times New Roman" w:cs="Times New Roman"/>
          <w:b/>
          <w:color w:val="000000" w:themeColor="text1"/>
          <w:sz w:val="28"/>
          <w:szCs w:val="28"/>
        </w:rPr>
        <w:t xml:space="preserve"> </w:t>
      </w:r>
    </w:p>
    <w:p w:rsidR="003C5C5E" w:rsidRDefault="00044839" w:rsidP="00EC52CB">
      <w:pPr>
        <w:spacing w:line="360" w:lineRule="auto"/>
        <w:ind w:right="-86"/>
        <w:jc w:val="both"/>
        <w:rPr>
          <w:rFonts w:ascii="Arial" w:hAnsi="Arial" w:cs="Arial"/>
          <w:b/>
          <w:color w:val="000000" w:themeColor="text1"/>
        </w:rPr>
      </w:pPr>
      <w:r w:rsidRPr="001D006D">
        <w:rPr>
          <w:rFonts w:ascii="Arial" w:hAnsi="Arial" w:cs="Arial"/>
          <w:b/>
          <w:color w:val="000000" w:themeColor="text1"/>
          <w:sz w:val="24"/>
          <w:szCs w:val="24"/>
        </w:rPr>
        <w:t>Determinants of Dividends of Indian Pharmaceutical Companies</w:t>
      </w:r>
      <w:r w:rsidR="00EC52CB">
        <w:rPr>
          <w:rFonts w:ascii="Arial" w:hAnsi="Arial" w:cs="Arial"/>
          <w:b/>
          <w:color w:val="000000" w:themeColor="text1"/>
          <w:sz w:val="24"/>
          <w:szCs w:val="24"/>
        </w:rPr>
        <w:t xml:space="preserve"> </w:t>
      </w:r>
      <w:r w:rsidR="00EC52CB" w:rsidRPr="00EC52CB">
        <w:rPr>
          <w:rFonts w:ascii="Arial" w:hAnsi="Arial" w:cs="Arial"/>
          <w:b/>
          <w:color w:val="000000" w:themeColor="text1"/>
        </w:rPr>
        <w:t>(01/2017 – 03/2017)</w:t>
      </w:r>
    </w:p>
    <w:p w:rsidR="00695DBF" w:rsidRPr="00D57E1B" w:rsidRDefault="00AF03D3" w:rsidP="00EC52CB">
      <w:pPr>
        <w:spacing w:line="360" w:lineRule="auto"/>
        <w:ind w:right="-86"/>
        <w:jc w:val="both"/>
        <w:rPr>
          <w:rFonts w:ascii="Arial" w:hAnsi="Arial" w:cs="Arial"/>
          <w:b/>
          <w:color w:val="000000" w:themeColor="text1"/>
          <w:sz w:val="17"/>
          <w:szCs w:val="17"/>
        </w:rPr>
      </w:pPr>
      <w:hyperlink r:id="rId10" w:history="1">
        <w:r w:rsidR="00D57E1B" w:rsidRPr="00D57E1B">
          <w:rPr>
            <w:rStyle w:val="Hyperlink"/>
            <w:rFonts w:ascii="Arial" w:hAnsi="Arial" w:cs="Arial"/>
            <w:b/>
            <w:sz w:val="17"/>
            <w:szCs w:val="17"/>
          </w:rPr>
          <w:t>https://pezzottaitejournals.net/pezzottaite/2017_IJAFMP_PAGE_OF_CONTENTS_V6N1_JANUARY_MARCH.php</w:t>
        </w:r>
      </w:hyperlink>
    </w:p>
    <w:p w:rsidR="007F7A66" w:rsidRPr="003C5C5E" w:rsidRDefault="00AF03D3" w:rsidP="003C5C5E">
      <w:pPr>
        <w:spacing w:line="360" w:lineRule="auto"/>
        <w:ind w:right="-86"/>
        <w:jc w:val="both"/>
        <w:rPr>
          <w:rFonts w:ascii="Arial" w:hAnsi="Arial" w:cs="Arial"/>
          <w:color w:val="000000" w:themeColor="text1"/>
        </w:rPr>
      </w:pPr>
      <w:r>
        <w:pict>
          <v:rect id="_x0000_i1029" style="width:0;height:1.5pt" o:hralign="center" o:hrstd="t" o:hr="t" fillcolor="#a0a0a0" stroked="f"/>
        </w:pict>
      </w:r>
    </w:p>
    <w:p w:rsidR="007F7A66" w:rsidRPr="001D006D" w:rsidRDefault="007F7A66" w:rsidP="00EC52CB">
      <w:pPr>
        <w:ind w:right="-86"/>
        <w:jc w:val="center"/>
        <w:rPr>
          <w:rFonts w:ascii="Times New Roman" w:hAnsi="Times New Roman" w:cs="Times New Roman"/>
          <w:color w:val="000000" w:themeColor="text1"/>
          <w:sz w:val="24"/>
          <w:szCs w:val="24"/>
        </w:rPr>
      </w:pPr>
      <w:r w:rsidRPr="001D006D">
        <w:rPr>
          <w:rFonts w:ascii="Baskerville Old Face" w:hAnsi="Baskerville Old Face" w:cs="Times New Roman"/>
          <w:b/>
          <w:color w:val="000000" w:themeColor="text1"/>
          <w:sz w:val="28"/>
          <w:szCs w:val="28"/>
        </w:rPr>
        <w:t>ADDITIONAL INFORMATION</w:t>
      </w:r>
      <w:r w:rsidRPr="001D006D">
        <w:rPr>
          <w:rFonts w:ascii="Times New Roman" w:hAnsi="Times New Roman" w:cs="Times New Roman"/>
          <w:b/>
          <w:color w:val="000000" w:themeColor="text1"/>
          <w:sz w:val="28"/>
          <w:szCs w:val="28"/>
        </w:rPr>
        <w:t xml:space="preserve"> </w:t>
      </w:r>
    </w:p>
    <w:p w:rsidR="007F7A66" w:rsidRPr="001D006D" w:rsidRDefault="00980D52" w:rsidP="00EC52CB">
      <w:pPr>
        <w:ind w:right="-86"/>
        <w:jc w:val="both"/>
        <w:rPr>
          <w:rFonts w:ascii="Arial" w:hAnsi="Arial" w:cs="Arial"/>
          <w:b/>
          <w:color w:val="000000" w:themeColor="text1"/>
        </w:rPr>
      </w:pPr>
      <w:r>
        <w:rPr>
          <w:rFonts w:ascii="Arial" w:hAnsi="Arial" w:cs="Arial"/>
          <w:b/>
          <w:color w:val="000000" w:themeColor="text1"/>
        </w:rPr>
        <w:t xml:space="preserve">Computer </w:t>
      </w:r>
      <w:r w:rsidR="007F7A66" w:rsidRPr="001D006D">
        <w:rPr>
          <w:rFonts w:ascii="Arial" w:hAnsi="Arial" w:cs="Arial"/>
          <w:b/>
          <w:color w:val="000000" w:themeColor="text1"/>
        </w:rPr>
        <w:t>Skills:</w:t>
      </w:r>
    </w:p>
    <w:p w:rsidR="007F7A66" w:rsidRPr="001D006D" w:rsidRDefault="00980D52" w:rsidP="00980D52">
      <w:pPr>
        <w:pStyle w:val="ListParagraph"/>
        <w:numPr>
          <w:ilvl w:val="0"/>
          <w:numId w:val="15"/>
        </w:numPr>
        <w:ind w:left="360" w:right="-86"/>
        <w:jc w:val="both"/>
        <w:rPr>
          <w:rFonts w:ascii="Arial" w:hAnsi="Arial" w:cs="Arial"/>
          <w:color w:val="000000" w:themeColor="text1"/>
          <w:sz w:val="20"/>
          <w:szCs w:val="20"/>
        </w:rPr>
      </w:pPr>
      <w:r>
        <w:rPr>
          <w:rFonts w:ascii="Arial" w:hAnsi="Arial" w:cs="Arial"/>
          <w:color w:val="000000" w:themeColor="text1"/>
          <w:sz w:val="20"/>
          <w:szCs w:val="20"/>
        </w:rPr>
        <w:t xml:space="preserve">Strong </w:t>
      </w:r>
      <w:r w:rsidR="007F7A66" w:rsidRPr="001D006D">
        <w:rPr>
          <w:rFonts w:ascii="Arial" w:hAnsi="Arial" w:cs="Arial"/>
          <w:color w:val="000000" w:themeColor="text1"/>
          <w:sz w:val="20"/>
          <w:szCs w:val="20"/>
        </w:rPr>
        <w:t>working knowledge of MS Office</w:t>
      </w:r>
      <w:r w:rsidR="0008642F" w:rsidRPr="001D006D">
        <w:rPr>
          <w:rFonts w:ascii="Arial" w:hAnsi="Arial" w:cs="Arial"/>
          <w:color w:val="000000" w:themeColor="text1"/>
          <w:sz w:val="20"/>
          <w:szCs w:val="20"/>
        </w:rPr>
        <w:t xml:space="preserve"> ( </w:t>
      </w:r>
      <w:r>
        <w:rPr>
          <w:rFonts w:ascii="Arial" w:hAnsi="Arial" w:cs="Arial"/>
          <w:color w:val="000000" w:themeColor="text1"/>
          <w:sz w:val="20"/>
          <w:szCs w:val="20"/>
        </w:rPr>
        <w:t>5</w:t>
      </w:r>
      <w:r w:rsidR="0008642F" w:rsidRPr="001D006D">
        <w:rPr>
          <w:rFonts w:ascii="Arial" w:hAnsi="Arial" w:cs="Arial"/>
          <w:color w:val="000000" w:themeColor="text1"/>
          <w:sz w:val="20"/>
          <w:szCs w:val="20"/>
        </w:rPr>
        <w:t xml:space="preserve"> years)</w:t>
      </w:r>
    </w:p>
    <w:p w:rsidR="007F7A66" w:rsidRPr="001D006D" w:rsidRDefault="007F7A66" w:rsidP="00980D52">
      <w:pPr>
        <w:pStyle w:val="ListParagraph"/>
        <w:numPr>
          <w:ilvl w:val="0"/>
          <w:numId w:val="15"/>
        </w:numPr>
        <w:ind w:left="360" w:right="-86"/>
        <w:jc w:val="both"/>
        <w:rPr>
          <w:rFonts w:ascii="Arial" w:hAnsi="Arial" w:cs="Arial"/>
          <w:color w:val="000000" w:themeColor="text1"/>
        </w:rPr>
      </w:pPr>
      <w:r w:rsidRPr="001D006D">
        <w:rPr>
          <w:rFonts w:ascii="Arial" w:hAnsi="Arial" w:cs="Arial"/>
          <w:color w:val="000000" w:themeColor="text1"/>
          <w:sz w:val="20"/>
          <w:szCs w:val="20"/>
        </w:rPr>
        <w:t>Tally ERP 9.0</w:t>
      </w:r>
      <w:r w:rsidR="0008642F" w:rsidRPr="001D006D">
        <w:rPr>
          <w:rFonts w:ascii="Arial" w:hAnsi="Arial" w:cs="Arial"/>
          <w:color w:val="000000" w:themeColor="text1"/>
          <w:sz w:val="20"/>
          <w:szCs w:val="20"/>
        </w:rPr>
        <w:t xml:space="preserve"> ( 2 years)</w:t>
      </w:r>
    </w:p>
    <w:p w:rsidR="0008642F" w:rsidRPr="001D006D" w:rsidRDefault="0008642F" w:rsidP="00980D52">
      <w:pPr>
        <w:pStyle w:val="ListParagraph"/>
        <w:numPr>
          <w:ilvl w:val="0"/>
          <w:numId w:val="15"/>
        </w:numPr>
        <w:ind w:left="360" w:right="-86"/>
        <w:jc w:val="both"/>
        <w:rPr>
          <w:rFonts w:ascii="Arial" w:hAnsi="Arial" w:cs="Arial"/>
          <w:color w:val="000000" w:themeColor="text1"/>
        </w:rPr>
      </w:pPr>
      <w:r w:rsidRPr="001D006D">
        <w:rPr>
          <w:rFonts w:ascii="Arial" w:hAnsi="Arial" w:cs="Arial"/>
          <w:color w:val="000000" w:themeColor="text1"/>
          <w:sz w:val="20"/>
          <w:szCs w:val="20"/>
        </w:rPr>
        <w:t>Typewriting – 40 wpm (2 years)</w:t>
      </w:r>
    </w:p>
    <w:p w:rsidR="007F7A66" w:rsidRPr="001D006D" w:rsidRDefault="007F7A66" w:rsidP="00980D52">
      <w:pPr>
        <w:ind w:right="-86"/>
        <w:jc w:val="both"/>
        <w:rPr>
          <w:rFonts w:ascii="Arial" w:hAnsi="Arial" w:cs="Arial"/>
          <w:b/>
          <w:color w:val="000000" w:themeColor="text1"/>
        </w:rPr>
      </w:pPr>
      <w:r w:rsidRPr="001D006D">
        <w:rPr>
          <w:rFonts w:ascii="Arial" w:hAnsi="Arial" w:cs="Arial"/>
          <w:b/>
          <w:color w:val="000000" w:themeColor="text1"/>
        </w:rPr>
        <w:t>Strengths:</w:t>
      </w:r>
    </w:p>
    <w:p w:rsidR="007F7A66" w:rsidRPr="001D006D" w:rsidRDefault="00980D52" w:rsidP="00980D52">
      <w:pPr>
        <w:pStyle w:val="ListParagraph"/>
        <w:numPr>
          <w:ilvl w:val="0"/>
          <w:numId w:val="16"/>
        </w:numPr>
        <w:ind w:left="360" w:right="-86"/>
        <w:jc w:val="both"/>
        <w:rPr>
          <w:rFonts w:ascii="Arial" w:hAnsi="Arial" w:cs="Arial"/>
          <w:color w:val="000000" w:themeColor="text1"/>
          <w:sz w:val="20"/>
          <w:szCs w:val="20"/>
        </w:rPr>
      </w:pPr>
      <w:r>
        <w:rPr>
          <w:rFonts w:ascii="Arial" w:hAnsi="Arial" w:cs="Arial"/>
          <w:color w:val="000000" w:themeColor="text1"/>
          <w:sz w:val="20"/>
          <w:szCs w:val="20"/>
        </w:rPr>
        <w:t>Proven ability to meet stringent deadlines and prioritize workload by time management.</w:t>
      </w:r>
    </w:p>
    <w:p w:rsidR="007F7A66" w:rsidRPr="001D006D" w:rsidRDefault="00980D52" w:rsidP="00980D52">
      <w:pPr>
        <w:pStyle w:val="ListParagraph"/>
        <w:numPr>
          <w:ilvl w:val="0"/>
          <w:numId w:val="16"/>
        </w:numPr>
        <w:ind w:left="360" w:right="-86"/>
        <w:jc w:val="both"/>
        <w:rPr>
          <w:rFonts w:ascii="Arial" w:hAnsi="Arial" w:cs="Arial"/>
          <w:color w:val="000000" w:themeColor="text1"/>
          <w:sz w:val="20"/>
          <w:szCs w:val="20"/>
        </w:rPr>
      </w:pPr>
      <w:r>
        <w:rPr>
          <w:rFonts w:ascii="Arial" w:hAnsi="Arial" w:cs="Arial"/>
          <w:color w:val="000000" w:themeColor="text1"/>
          <w:sz w:val="20"/>
          <w:szCs w:val="20"/>
        </w:rPr>
        <w:t>Strong</w:t>
      </w:r>
      <w:r w:rsidR="007F7A66" w:rsidRPr="001D006D">
        <w:rPr>
          <w:rFonts w:ascii="Arial" w:hAnsi="Arial" w:cs="Arial"/>
          <w:color w:val="000000" w:themeColor="text1"/>
          <w:sz w:val="20"/>
          <w:szCs w:val="20"/>
        </w:rPr>
        <w:t xml:space="preserve"> </w:t>
      </w:r>
      <w:r>
        <w:rPr>
          <w:rFonts w:ascii="Arial" w:hAnsi="Arial" w:cs="Arial"/>
          <w:color w:val="000000" w:themeColor="text1"/>
          <w:sz w:val="20"/>
          <w:szCs w:val="20"/>
        </w:rPr>
        <w:t>c</w:t>
      </w:r>
      <w:r w:rsidR="007F7A66" w:rsidRPr="001D006D">
        <w:rPr>
          <w:rFonts w:ascii="Arial" w:hAnsi="Arial" w:cs="Arial"/>
          <w:color w:val="000000" w:themeColor="text1"/>
          <w:sz w:val="20"/>
          <w:szCs w:val="20"/>
        </w:rPr>
        <w:t xml:space="preserve">ommunication </w:t>
      </w:r>
      <w:r>
        <w:rPr>
          <w:rFonts w:ascii="Arial" w:hAnsi="Arial" w:cs="Arial"/>
          <w:color w:val="000000" w:themeColor="text1"/>
          <w:sz w:val="20"/>
          <w:szCs w:val="20"/>
        </w:rPr>
        <w:t xml:space="preserve">and interpersonal </w:t>
      </w:r>
      <w:r w:rsidR="007F7A66" w:rsidRPr="001D006D">
        <w:rPr>
          <w:rFonts w:ascii="Arial" w:hAnsi="Arial" w:cs="Arial"/>
          <w:color w:val="000000" w:themeColor="text1"/>
          <w:sz w:val="20"/>
          <w:szCs w:val="20"/>
        </w:rPr>
        <w:t>skills</w:t>
      </w:r>
      <w:r>
        <w:rPr>
          <w:rFonts w:ascii="Arial" w:hAnsi="Arial" w:cs="Arial"/>
          <w:color w:val="000000" w:themeColor="text1"/>
          <w:sz w:val="20"/>
          <w:szCs w:val="20"/>
        </w:rPr>
        <w:t xml:space="preserve"> and good team player.</w:t>
      </w:r>
    </w:p>
    <w:p w:rsidR="007F7A66" w:rsidRDefault="00980D52" w:rsidP="00980D52">
      <w:pPr>
        <w:pStyle w:val="ListParagraph"/>
        <w:numPr>
          <w:ilvl w:val="0"/>
          <w:numId w:val="16"/>
        </w:numPr>
        <w:ind w:left="360" w:right="-86"/>
        <w:jc w:val="both"/>
        <w:rPr>
          <w:rFonts w:ascii="Arial" w:hAnsi="Arial" w:cs="Arial"/>
          <w:color w:val="000000" w:themeColor="text1"/>
          <w:sz w:val="20"/>
          <w:szCs w:val="20"/>
        </w:rPr>
      </w:pPr>
      <w:r>
        <w:rPr>
          <w:rFonts w:ascii="Arial" w:hAnsi="Arial" w:cs="Arial"/>
          <w:color w:val="000000" w:themeColor="text1"/>
          <w:sz w:val="20"/>
          <w:szCs w:val="20"/>
        </w:rPr>
        <w:t>Ability to present research findings to team members and senior leaders.</w:t>
      </w:r>
    </w:p>
    <w:p w:rsidR="00980D52" w:rsidRDefault="00980D52" w:rsidP="00980D52">
      <w:pPr>
        <w:pStyle w:val="ListParagraph"/>
        <w:ind w:left="360" w:right="-86"/>
        <w:jc w:val="both"/>
        <w:rPr>
          <w:rFonts w:ascii="Arial" w:hAnsi="Arial" w:cs="Arial"/>
          <w:color w:val="000000" w:themeColor="text1"/>
          <w:sz w:val="20"/>
          <w:szCs w:val="20"/>
        </w:rPr>
      </w:pPr>
    </w:p>
    <w:p w:rsidR="007F7A66" w:rsidRPr="001D006D" w:rsidRDefault="007F7A66" w:rsidP="007F7A66">
      <w:pPr>
        <w:spacing w:line="360" w:lineRule="auto"/>
        <w:ind w:right="-86"/>
        <w:jc w:val="both"/>
        <w:rPr>
          <w:rFonts w:ascii="Times New Roman" w:hAnsi="Times New Roman" w:cs="Times New Roman"/>
          <w:color w:val="000000" w:themeColor="text1"/>
          <w:sz w:val="24"/>
          <w:szCs w:val="24"/>
        </w:rPr>
      </w:pPr>
      <w:bookmarkStart w:id="0" w:name="_GoBack"/>
      <w:bookmarkEnd w:id="0"/>
    </w:p>
    <w:sectPr w:rsidR="007F7A66" w:rsidRPr="001D006D" w:rsidSect="004C3AD8">
      <w:pgSz w:w="12240" w:h="15840"/>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D3" w:rsidRDefault="00AF03D3" w:rsidP="00C5148E">
      <w:pPr>
        <w:spacing w:after="0" w:line="240" w:lineRule="auto"/>
      </w:pPr>
      <w:r>
        <w:separator/>
      </w:r>
    </w:p>
  </w:endnote>
  <w:endnote w:type="continuationSeparator" w:id="0">
    <w:p w:rsidR="00AF03D3" w:rsidRDefault="00AF03D3" w:rsidP="00C5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D3" w:rsidRDefault="00AF03D3" w:rsidP="00C5148E">
      <w:pPr>
        <w:spacing w:after="0" w:line="240" w:lineRule="auto"/>
      </w:pPr>
      <w:r>
        <w:separator/>
      </w:r>
    </w:p>
  </w:footnote>
  <w:footnote w:type="continuationSeparator" w:id="0">
    <w:p w:rsidR="00AF03D3" w:rsidRDefault="00AF03D3" w:rsidP="00C51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7F"/>
    <w:multiLevelType w:val="hybridMultilevel"/>
    <w:tmpl w:val="DC30A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66AFE"/>
    <w:multiLevelType w:val="hybridMultilevel"/>
    <w:tmpl w:val="E1F63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906CBB"/>
    <w:multiLevelType w:val="hybridMultilevel"/>
    <w:tmpl w:val="4C2EFB24"/>
    <w:lvl w:ilvl="0" w:tplc="5C36FC74">
      <w:numFmt w:val="bullet"/>
      <w:lvlText w:val="•"/>
      <w:lvlJc w:val="left"/>
      <w:pPr>
        <w:ind w:left="720" w:hanging="360"/>
      </w:pPr>
      <w:rPr>
        <w:rFonts w:ascii="Times New Roman" w:eastAsiaTheme="minorEastAsia"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196B57"/>
    <w:multiLevelType w:val="hybridMultilevel"/>
    <w:tmpl w:val="8C503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3427D"/>
    <w:multiLevelType w:val="hybridMultilevel"/>
    <w:tmpl w:val="020CFD9E"/>
    <w:lvl w:ilvl="0" w:tplc="2B8267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2016B"/>
    <w:multiLevelType w:val="hybridMultilevel"/>
    <w:tmpl w:val="351CE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850E89"/>
    <w:multiLevelType w:val="hybridMultilevel"/>
    <w:tmpl w:val="7F5E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A426F"/>
    <w:multiLevelType w:val="hybridMultilevel"/>
    <w:tmpl w:val="D61E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5B0943"/>
    <w:multiLevelType w:val="hybridMultilevel"/>
    <w:tmpl w:val="0666E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1630942"/>
    <w:multiLevelType w:val="hybridMultilevel"/>
    <w:tmpl w:val="8EE4524A"/>
    <w:lvl w:ilvl="0" w:tplc="4128EE5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71923"/>
    <w:multiLevelType w:val="hybridMultilevel"/>
    <w:tmpl w:val="5D90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51F13"/>
    <w:multiLevelType w:val="hybridMultilevel"/>
    <w:tmpl w:val="EB22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F3439E"/>
    <w:multiLevelType w:val="hybridMultilevel"/>
    <w:tmpl w:val="37BC7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C7356"/>
    <w:multiLevelType w:val="hybridMultilevel"/>
    <w:tmpl w:val="F4564212"/>
    <w:lvl w:ilvl="0" w:tplc="4128EE5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62D04"/>
    <w:multiLevelType w:val="hybridMultilevel"/>
    <w:tmpl w:val="70DC1330"/>
    <w:lvl w:ilvl="0" w:tplc="4128EE5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66504D"/>
    <w:multiLevelType w:val="hybridMultilevel"/>
    <w:tmpl w:val="FD48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2"/>
  </w:num>
  <w:num w:numId="5">
    <w:abstractNumId w:val="8"/>
  </w:num>
  <w:num w:numId="6">
    <w:abstractNumId w:val="0"/>
  </w:num>
  <w:num w:numId="7">
    <w:abstractNumId w:val="5"/>
  </w:num>
  <w:num w:numId="8">
    <w:abstractNumId w:val="1"/>
  </w:num>
  <w:num w:numId="9">
    <w:abstractNumId w:val="10"/>
  </w:num>
  <w:num w:numId="10">
    <w:abstractNumId w:val="11"/>
  </w:num>
  <w:num w:numId="11">
    <w:abstractNumId w:val="4"/>
  </w:num>
  <w:num w:numId="12">
    <w:abstractNumId w:val="3"/>
  </w:num>
  <w:num w:numId="13">
    <w:abstractNumId w:val="12"/>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A56"/>
    <w:rsid w:val="00005817"/>
    <w:rsid w:val="00044839"/>
    <w:rsid w:val="00056D22"/>
    <w:rsid w:val="00077A1E"/>
    <w:rsid w:val="0008642F"/>
    <w:rsid w:val="000F1A91"/>
    <w:rsid w:val="00130252"/>
    <w:rsid w:val="00131DDE"/>
    <w:rsid w:val="0016075F"/>
    <w:rsid w:val="001655FB"/>
    <w:rsid w:val="00192466"/>
    <w:rsid w:val="001D006D"/>
    <w:rsid w:val="002051FC"/>
    <w:rsid w:val="00205EAA"/>
    <w:rsid w:val="00271967"/>
    <w:rsid w:val="00285403"/>
    <w:rsid w:val="0029799A"/>
    <w:rsid w:val="002A1814"/>
    <w:rsid w:val="002C37BE"/>
    <w:rsid w:val="00362AEA"/>
    <w:rsid w:val="00387CF2"/>
    <w:rsid w:val="003B6C96"/>
    <w:rsid w:val="003B7637"/>
    <w:rsid w:val="003C5C5E"/>
    <w:rsid w:val="00432A51"/>
    <w:rsid w:val="0046530C"/>
    <w:rsid w:val="00476B24"/>
    <w:rsid w:val="004C3AD8"/>
    <w:rsid w:val="00536CEF"/>
    <w:rsid w:val="005805E2"/>
    <w:rsid w:val="005B0EEC"/>
    <w:rsid w:val="005D46B1"/>
    <w:rsid w:val="006307D4"/>
    <w:rsid w:val="00634306"/>
    <w:rsid w:val="00663C58"/>
    <w:rsid w:val="006803F9"/>
    <w:rsid w:val="0068119C"/>
    <w:rsid w:val="00695DBF"/>
    <w:rsid w:val="006C278F"/>
    <w:rsid w:val="006E2CC8"/>
    <w:rsid w:val="007A013F"/>
    <w:rsid w:val="007E3C1C"/>
    <w:rsid w:val="007E56FF"/>
    <w:rsid w:val="007F7A66"/>
    <w:rsid w:val="008A4EAB"/>
    <w:rsid w:val="00980D52"/>
    <w:rsid w:val="009A57B9"/>
    <w:rsid w:val="009C5C70"/>
    <w:rsid w:val="009D0FFB"/>
    <w:rsid w:val="009E436B"/>
    <w:rsid w:val="00A3576B"/>
    <w:rsid w:val="00A56254"/>
    <w:rsid w:val="00A67A9D"/>
    <w:rsid w:val="00A67AD7"/>
    <w:rsid w:val="00AA07CB"/>
    <w:rsid w:val="00AF03D3"/>
    <w:rsid w:val="00B20F85"/>
    <w:rsid w:val="00B25B72"/>
    <w:rsid w:val="00B54A67"/>
    <w:rsid w:val="00B5762E"/>
    <w:rsid w:val="00B57E41"/>
    <w:rsid w:val="00B843C9"/>
    <w:rsid w:val="00BA6125"/>
    <w:rsid w:val="00BB7627"/>
    <w:rsid w:val="00BD4320"/>
    <w:rsid w:val="00C26A60"/>
    <w:rsid w:val="00C5148E"/>
    <w:rsid w:val="00C6095C"/>
    <w:rsid w:val="00CB48EC"/>
    <w:rsid w:val="00CB5DD0"/>
    <w:rsid w:val="00D476FE"/>
    <w:rsid w:val="00D57E1B"/>
    <w:rsid w:val="00D9688C"/>
    <w:rsid w:val="00DB6C29"/>
    <w:rsid w:val="00DC6D8C"/>
    <w:rsid w:val="00DD01BF"/>
    <w:rsid w:val="00DE2202"/>
    <w:rsid w:val="00E02006"/>
    <w:rsid w:val="00E02C12"/>
    <w:rsid w:val="00E13103"/>
    <w:rsid w:val="00E43CB8"/>
    <w:rsid w:val="00E658E9"/>
    <w:rsid w:val="00E972EA"/>
    <w:rsid w:val="00EB5D1C"/>
    <w:rsid w:val="00EC52CB"/>
    <w:rsid w:val="00EC5AA3"/>
    <w:rsid w:val="00EE2F79"/>
    <w:rsid w:val="00F30A56"/>
    <w:rsid w:val="00F83757"/>
    <w:rsid w:val="00FE2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2F79"/>
    <w:pPr>
      <w:ind w:left="720"/>
      <w:contextualSpacing/>
    </w:pPr>
    <w:rPr>
      <w:rFonts w:eastAsiaTheme="minorEastAsia"/>
    </w:rPr>
  </w:style>
  <w:style w:type="character" w:styleId="Hyperlink">
    <w:name w:val="Hyperlink"/>
    <w:basedOn w:val="DefaultParagraphFont"/>
    <w:uiPriority w:val="99"/>
    <w:unhideWhenUsed/>
    <w:rsid w:val="004C3AD8"/>
    <w:rPr>
      <w:color w:val="0000FF" w:themeColor="hyperlink"/>
      <w:u w:val="single"/>
    </w:rPr>
  </w:style>
  <w:style w:type="paragraph" w:styleId="Header">
    <w:name w:val="header"/>
    <w:basedOn w:val="Normal"/>
    <w:link w:val="HeaderChar"/>
    <w:uiPriority w:val="99"/>
    <w:semiHidden/>
    <w:unhideWhenUsed/>
    <w:rsid w:val="00C51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48E"/>
  </w:style>
  <w:style w:type="paragraph" w:styleId="Footer">
    <w:name w:val="footer"/>
    <w:basedOn w:val="Normal"/>
    <w:link w:val="FooterChar"/>
    <w:uiPriority w:val="99"/>
    <w:semiHidden/>
    <w:unhideWhenUsed/>
    <w:rsid w:val="00C51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148E"/>
  </w:style>
  <w:style w:type="table" w:styleId="TableGrid">
    <w:name w:val="Table Grid"/>
    <w:basedOn w:val="TableNormal"/>
    <w:uiPriority w:val="59"/>
    <w:rsid w:val="009A5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zzottaitejournals.net/pezzottaite/2017_IJAFMP_PAGE_OF_CONTENTS_V6N1_JANUARY_MARCH.php" TargetMode="External"/><Relationship Id="rId4" Type="http://schemas.microsoft.com/office/2007/relationships/stylesWithEffects" Target="stylesWithEffects.xml"/><Relationship Id="rId9" Type="http://schemas.openxmlformats.org/officeDocument/2006/relationships/hyperlink" Target="ravi96.te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48B2-9FCA-485E-B36D-12D0087B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Admin</cp:lastModifiedBy>
  <cp:revision>27</cp:revision>
  <dcterms:created xsi:type="dcterms:W3CDTF">2020-06-22T13:50:00Z</dcterms:created>
  <dcterms:modified xsi:type="dcterms:W3CDTF">2021-01-06T18:07:00Z</dcterms:modified>
</cp:coreProperties>
</file>