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>
        <w:rPr>
          <w:rFonts w:ascii="Calibri" w:eastAsia="Times New Roman" w:hAnsi="Calibri" w:cs="Calibri"/>
          <w:b/>
          <w:bCs/>
          <w:color w:val="0070C0"/>
          <w:sz w:val="20"/>
          <w:szCs w:val="20"/>
        </w:rPr>
        <w:t>Prakashvadivelan</w:t>
      </w:r>
      <w:proofErr w:type="spellEnd"/>
      <w:r>
        <w:rPr>
          <w:rFonts w:ascii="Calibri" w:eastAsia="Times New Roman" w:hAnsi="Calibri" w:cs="Calibri"/>
          <w:b/>
          <w:bCs/>
          <w:color w:val="0070C0"/>
          <w:sz w:val="20"/>
          <w:szCs w:val="20"/>
        </w:rPr>
        <w:t> JM</w:t>
      </w:r>
      <w:r>
        <w:rPr>
          <w:rFonts w:ascii="Calibri" w:eastAsia="Times New Roman" w:hAnsi="Calibri" w:cs="Calibri"/>
          <w:color w:val="0070C0"/>
          <w:sz w:val="20"/>
          <w:szCs w:val="20"/>
        </w:rPr>
        <w:t>  </w:t>
      </w:r>
    </w:p>
    <w:p w:rsidR="00FC73A4" w:rsidRDefault="00D12B8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Phone: +91-9884149365  [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Whatsapp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>]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Malaysia :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+60-135638202 [Call or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Whatsapp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>]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Email:  prakashvadivelanjm@gmail.com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>_____________________________________________________________________________________________________  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FF"/>
          <w:sz w:val="20"/>
          <w:szCs w:val="20"/>
        </w:rPr>
        <w:t xml:space="preserve">Experience </w:t>
      </w:r>
      <w:r>
        <w:rPr>
          <w:rFonts w:ascii="Calibri" w:eastAsia="Times New Roman" w:hAnsi="Calibri" w:cs="Calibri"/>
          <w:b/>
          <w:bCs/>
          <w:color w:val="0000FF"/>
          <w:sz w:val="20"/>
          <w:szCs w:val="20"/>
        </w:rPr>
        <w:t>Summary</w:t>
      </w:r>
      <w:r>
        <w:rPr>
          <w:rFonts w:ascii="Calibri" w:eastAsia="Times New Roman" w:hAnsi="Calibri" w:cs="Calibri"/>
          <w:color w:val="0000FF"/>
          <w:sz w:val="20"/>
          <w:szCs w:val="20"/>
        </w:rPr>
        <w:t>  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:rsidR="00FC73A4" w:rsidRDefault="00D12B8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Overall 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15+ years’ experience</w:t>
      </w:r>
      <w:r>
        <w:rPr>
          <w:rFonts w:ascii="Calibri" w:eastAsia="Times New Roman" w:hAnsi="Calibri" w:cs="Calibri"/>
          <w:color w:val="000000"/>
          <w:sz w:val="20"/>
          <w:szCs w:val="20"/>
        </w:rPr>
        <w:t> in IT in Test</w:t>
      </w:r>
      <w:r w:rsidR="0086440A">
        <w:rPr>
          <w:rFonts w:ascii="Calibri" w:eastAsia="Times New Roman" w:hAnsi="Calibri" w:cs="Calibri"/>
          <w:color w:val="000000"/>
          <w:sz w:val="20"/>
          <w:szCs w:val="20"/>
        </w:rPr>
        <w:t>ing and Development Portfolios, Azure development 6+ years</w:t>
      </w:r>
    </w:p>
    <w:p w:rsidR="00FC73A4" w:rsidRPr="005D3BF3" w:rsidRDefault="00D12B85" w:rsidP="005D3BF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Currently working as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Azure  Developer for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6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+ years</w:t>
      </w:r>
      <w:bookmarkStart w:id="0" w:name="_GoBack"/>
      <w:bookmarkEnd w:id="0"/>
    </w:p>
    <w:p w:rsidR="00FC73A4" w:rsidRDefault="00D12B8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Worked as a 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Mainframe developer</w:t>
      </w:r>
      <w:r>
        <w:rPr>
          <w:rFonts w:ascii="Calibri" w:eastAsia="Times New Roman" w:hAnsi="Calibri" w:cs="Calibri"/>
          <w:color w:val="000000"/>
          <w:sz w:val="20"/>
          <w:szCs w:val="20"/>
        </w:rPr>
        <w:t> for </w:t>
      </w:r>
      <w:r>
        <w:rPr>
          <w:rFonts w:ascii="Calibri" w:eastAsia="Times New Roman" w:hAnsi="Calibri" w:cs="Calibri"/>
          <w:color w:val="000000"/>
          <w:sz w:val="20"/>
          <w:szCs w:val="20"/>
        </w:rPr>
        <w:t>6</w:t>
      </w:r>
      <w:r>
        <w:rPr>
          <w:rFonts w:ascii="Calibri" w:eastAsia="Times New Roman" w:hAnsi="Calibri" w:cs="Calibri"/>
          <w:color w:val="000000"/>
          <w:sz w:val="20"/>
          <w:szCs w:val="20"/>
        </w:rPr>
        <w:t>+ years. Worked on Maintenance and Development projects  </w:t>
      </w:r>
    </w:p>
    <w:p w:rsidR="00FC73A4" w:rsidRDefault="00D12B8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IBM Certified Database Associate in 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DB2</w:t>
      </w:r>
      <w:r>
        <w:rPr>
          <w:rFonts w:ascii="Calibri" w:eastAsia="Times New Roman" w:hAnsi="Calibri" w:cs="Calibri"/>
          <w:color w:val="000000"/>
          <w:sz w:val="20"/>
          <w:szCs w:val="20"/>
        </w:rPr>
        <w:t> Family Fundamentals and Application developer.  </w:t>
      </w:r>
    </w:p>
    <w:p w:rsidR="00FC73A4" w:rsidRDefault="00D12B8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Has ability to plan, organize, and prioritize day-to-da</w:t>
      </w:r>
      <w:r>
        <w:rPr>
          <w:rFonts w:ascii="Calibri" w:eastAsia="Times New Roman" w:hAnsi="Calibri" w:cs="Calibri"/>
          <w:color w:val="000000"/>
          <w:sz w:val="20"/>
          <w:szCs w:val="20"/>
        </w:rPr>
        <w:t>y workload to meet the critical project deliverables,  </w:t>
      </w:r>
    </w:p>
    <w:p w:rsidR="00FC73A4" w:rsidRDefault="00D12B85">
      <w:pPr>
        <w:pStyle w:val="ListParagraph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ability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to work in groups as well as independently with initiative to learn new technologies. Has on-time     </w:t>
      </w:r>
    </w:p>
    <w:p w:rsidR="00FC73A4" w:rsidRDefault="00D12B85">
      <w:pPr>
        <w:pStyle w:val="ListParagraph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record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of delivering mission critical projects with high quality products.  </w:t>
      </w:r>
    </w:p>
    <w:p w:rsidR="00FC73A4" w:rsidRDefault="00D12B85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FF"/>
          <w:sz w:val="20"/>
          <w:szCs w:val="20"/>
        </w:rPr>
        <w:t>  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FF"/>
          <w:sz w:val="20"/>
          <w:szCs w:val="20"/>
        </w:rPr>
        <w:t>Professional Experience</w:t>
      </w:r>
      <w:r>
        <w:rPr>
          <w:rFonts w:ascii="Calibri" w:eastAsia="Times New Roman" w:hAnsi="Calibri" w:cs="Calibri"/>
          <w:color w:val="0000FF"/>
          <w:sz w:val="20"/>
          <w:szCs w:val="20"/>
        </w:rPr>
        <w:t> 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2970"/>
        <w:gridCol w:w="1515"/>
        <w:gridCol w:w="1200"/>
      </w:tblGrid>
      <w:tr w:rsidR="00FC73A4">
        <w:trPr>
          <w:trHeight w:val="31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Employer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Role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Period From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  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Period To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  </w:t>
            </w:r>
          </w:p>
        </w:tc>
      </w:tr>
      <w:tr w:rsidR="00FC73A4">
        <w:trPr>
          <w:trHeight w:val="315"/>
        </w:trPr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HCL 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Technical Lead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Sep,2016 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Mar,2023</w:t>
            </w:r>
          </w:p>
        </w:tc>
      </w:tr>
      <w:tr w:rsidR="00FC73A4">
        <w:trPr>
          <w:trHeight w:val="315"/>
        </w:trPr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TCS 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Assistant Consultant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Oct, 2011 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Aug, 2015  </w:t>
            </w:r>
          </w:p>
        </w:tc>
      </w:tr>
      <w:tr w:rsidR="00FC73A4">
        <w:trPr>
          <w:trHeight w:val="315"/>
        </w:trPr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Cognizant Technology Solutions 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Associate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Oct, 2008 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Oct, 2011  </w:t>
            </w:r>
          </w:p>
        </w:tc>
      </w:tr>
      <w:tr w:rsidR="00FC73A4">
        <w:trPr>
          <w:trHeight w:val="315"/>
        </w:trPr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Satyam 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Senior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Software Engineer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Sep, 2006 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Sep, 2008  </w:t>
            </w:r>
          </w:p>
        </w:tc>
      </w:tr>
      <w:tr w:rsidR="00FC73A4">
        <w:trPr>
          <w:trHeight w:val="315"/>
        </w:trPr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Software Engineer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Feb, 2005 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Aug, 2006  </w:t>
            </w:r>
          </w:p>
        </w:tc>
      </w:tr>
      <w:tr w:rsidR="00FC73A4">
        <w:trPr>
          <w:trHeight w:val="315"/>
        </w:trPr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Dsrc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Programmer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Mar, 2004 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Dec, 2004  </w:t>
            </w:r>
          </w:p>
        </w:tc>
      </w:tr>
    </w:tbl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FF"/>
          <w:sz w:val="20"/>
          <w:szCs w:val="20"/>
        </w:rPr>
        <w:t>  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FF"/>
          <w:sz w:val="20"/>
          <w:szCs w:val="20"/>
        </w:rPr>
        <w:t>Qualifications </w:t>
      </w:r>
      <w:r>
        <w:rPr>
          <w:rFonts w:ascii="Calibri" w:eastAsia="Times New Roman" w:hAnsi="Calibri" w:cs="Calibri"/>
          <w:color w:val="0000FF"/>
          <w:sz w:val="20"/>
          <w:szCs w:val="20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240"/>
        <w:gridCol w:w="3030"/>
      </w:tblGrid>
      <w:tr w:rsidR="00FC73A4">
        <w:trPr>
          <w:trHeight w:val="345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Degree and  Year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  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Institute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  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bottom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Major and Specialization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  </w:t>
            </w:r>
          </w:p>
        </w:tc>
      </w:tr>
      <w:tr w:rsidR="00FC73A4">
        <w:trPr>
          <w:trHeight w:val="540"/>
        </w:trPr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Bachelor of Engineering, 2001 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Tamilnadu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college of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   </w:t>
            </w:r>
          </w:p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Bharathiyar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university Coimbatore,  </w:t>
            </w:r>
          </w:p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Tamilnadu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 India  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and Communication  </w:t>
            </w:r>
          </w:p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 </w:t>
            </w:r>
          </w:p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 </w:t>
            </w:r>
          </w:p>
        </w:tc>
      </w:tr>
      <w:tr w:rsidR="00FC73A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73A4" w:rsidRDefault="00FC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73A4" w:rsidRDefault="00FC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FF"/>
          <w:sz w:val="20"/>
          <w:szCs w:val="20"/>
        </w:rPr>
        <w:t>Skills</w:t>
      </w:r>
      <w:r>
        <w:rPr>
          <w:rFonts w:ascii="Calibri" w:eastAsia="Times New Roman" w:hAnsi="Calibri" w:cs="Calibri"/>
          <w:color w:val="0000FF"/>
          <w:sz w:val="20"/>
          <w:szCs w:val="20"/>
        </w:rPr>
        <w:t>   </w:t>
      </w:r>
    </w:p>
    <w:tbl>
      <w:tblPr>
        <w:tblW w:w="924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6786"/>
      </w:tblGrid>
      <w:tr w:rsidR="00FC73A4">
        <w:trPr>
          <w:trHeight w:val="30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Skills  </w:t>
            </w:r>
          </w:p>
        </w:tc>
        <w:tc>
          <w:tcPr>
            <w:tcW w:w="6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Technology/Languages  </w:t>
            </w:r>
          </w:p>
        </w:tc>
      </w:tr>
      <w:tr w:rsidR="00FC73A4">
        <w:trPr>
          <w:trHeight w:val="30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Azure Cloud Skills  </w:t>
            </w:r>
          </w:p>
        </w:tc>
        <w:tc>
          <w:tcPr>
            <w:tcW w:w="6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Azure Data Factory, Azure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Datalakes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Azure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Databricks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Azure Synapse,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PowerBI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Logic Apps, Blob container, Azure SQL DB, APIM, Service Bus-Queues, XSLT/Scheme Maps, Azure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Devops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C73A4">
        <w:trPr>
          <w:trHeight w:val="30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Automated Testing  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TOSCA  </w:t>
            </w:r>
          </w:p>
        </w:tc>
      </w:tr>
      <w:tr w:rsidR="00FC73A4">
        <w:trPr>
          <w:trHeight w:val="30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Manual Testing 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Web / Mainframe </w:t>
            </w:r>
          </w:p>
        </w:tc>
      </w:tr>
      <w:tr w:rsidR="00FC73A4">
        <w:trPr>
          <w:trHeight w:val="30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Methodology 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Agile  </w:t>
            </w:r>
          </w:p>
        </w:tc>
      </w:tr>
      <w:tr w:rsidR="00FC73A4">
        <w:trPr>
          <w:trHeight w:val="30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Tracking Tools 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HP ALM,JIRA  </w:t>
            </w:r>
          </w:p>
        </w:tc>
      </w:tr>
      <w:tr w:rsidR="00FC73A4">
        <w:trPr>
          <w:trHeight w:val="30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Development  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Mainframe: COBOL,JCL,DB2,VSAM,IMS DB  </w:t>
            </w:r>
          </w:p>
        </w:tc>
      </w:tr>
    </w:tbl>
    <w:p w:rsidR="00FC73A4" w:rsidRDefault="00FC73A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FF"/>
          <w:sz w:val="20"/>
          <w:szCs w:val="20"/>
        </w:rPr>
      </w:pPr>
    </w:p>
    <w:p w:rsidR="00FC73A4" w:rsidRDefault="00FC73A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FF"/>
          <w:sz w:val="20"/>
          <w:szCs w:val="20"/>
        </w:rPr>
      </w:pPr>
    </w:p>
    <w:p w:rsidR="00FC73A4" w:rsidRDefault="00D12B8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FF"/>
          <w:sz w:val="20"/>
          <w:szCs w:val="20"/>
        </w:rPr>
        <w:t>Experience Profile - Key Assignments</w:t>
      </w:r>
      <w:r>
        <w:rPr>
          <w:rFonts w:ascii="Calibri" w:eastAsia="Times New Roman" w:hAnsi="Calibri" w:cs="Calibri"/>
          <w:color w:val="0000FF"/>
          <w:sz w:val="20"/>
          <w:szCs w:val="20"/>
        </w:rPr>
        <w:t>  </w:t>
      </w:r>
    </w:p>
    <w:p w:rsidR="00FC73A4" w:rsidRDefault="00D12B8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The details of the various assignments that I have handled are listed here, in reverse chronological order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: 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> </w:t>
      </w:r>
    </w:p>
    <w:p w:rsidR="00FC73A4" w:rsidRDefault="00FC73A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5"/>
        <w:gridCol w:w="7380"/>
        <w:gridCol w:w="144"/>
      </w:tblGrid>
      <w:tr w:rsidR="00FC73A4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Project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   </w:t>
            </w:r>
          </w:p>
        </w:tc>
        <w:tc>
          <w:tcPr>
            <w:tcW w:w="7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CDA – Customer Develop Agreement </w:t>
            </w:r>
          </w:p>
        </w:tc>
      </w:tr>
      <w:tr w:rsidR="00FC73A4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Customer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   </w:t>
            </w:r>
          </w:p>
        </w:tc>
        <w:tc>
          <w:tcPr>
            <w:tcW w:w="7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Pepsico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, USA </w:t>
            </w:r>
          </w:p>
        </w:tc>
      </w:tr>
      <w:tr w:rsidR="00FC73A4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Domain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   </w:t>
            </w:r>
          </w:p>
        </w:tc>
        <w:tc>
          <w:tcPr>
            <w:tcW w:w="7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 Retail  </w:t>
            </w:r>
          </w:p>
        </w:tc>
      </w:tr>
      <w:tr w:rsidR="00FC73A4">
        <w:trPr>
          <w:trHeight w:val="315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Role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   </w:t>
            </w:r>
          </w:p>
        </w:tc>
        <w:tc>
          <w:tcPr>
            <w:tcW w:w="7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 Azure Data Developer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36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sz w:val="20"/>
                <w:szCs w:val="20"/>
              </w:rPr>
              <w:t>  </w:t>
            </w:r>
          </w:p>
        </w:tc>
      </w:tr>
      <w:tr w:rsidR="00FC73A4">
        <w:trPr>
          <w:trHeight w:val="945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   </w:t>
            </w:r>
          </w:p>
        </w:tc>
        <w:tc>
          <w:tcPr>
            <w:tcW w:w="7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 CDA (Customer Development Agreement is an agreement signed between PepsiCo and customer (key accounts) wherein PepsiCo pays a certain amount money to the 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customer for various promotional </w:t>
            </w:r>
            <w:proofErr w:type="gram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factors .</w:t>
            </w:r>
            <w:proofErr w:type="gram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 This money is then partially split between PepsiCo and Bottlers. This application is to process the billing for bottlers based on the case volume delivered to the key </w:t>
            </w:r>
            <w:proofErr w:type="gram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accounts​.​</w:t>
            </w:r>
            <w:proofErr w:type="gram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 Bottler bill amount is determined 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by analyzing bottler sales via STAR2 EDW for key customers according to product type.  A detailed invoice by bottlers for selected key accounts are computed at specific rates and generated for every quarter and invoice is sent to SAP Application.​ CDA bill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ing is done by mainframe application currently and we are replacing the mainframe with Azure technologies. As a part of this project we are using Azure data Factory to retrieve the External data from Data source like Teradata, Oracle. Azure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Datalakes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 to st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ore the retrieved data and for processing the data we are using Azure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Databricks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. To store the processed data we use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Datalakes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 as well Azure Synapse where we store data in tables. Azure Synapse data is then used in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PowerBI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 to generate interactive reports t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o the customer.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36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sz w:val="20"/>
                <w:szCs w:val="20"/>
              </w:rPr>
              <w:t>  </w:t>
            </w:r>
          </w:p>
        </w:tc>
      </w:tr>
      <w:tr w:rsidR="00FC73A4">
        <w:trPr>
          <w:trHeight w:val="315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   </w:t>
            </w:r>
          </w:p>
        </w:tc>
        <w:tc>
          <w:tcPr>
            <w:tcW w:w="7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 Azure Data Factory, Azure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Datalakes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, Azure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Databricks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 xml:space="preserve">, Azure Synapse,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PowerBI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36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sz w:val="20"/>
                <w:szCs w:val="20"/>
              </w:rPr>
              <w:t>  </w:t>
            </w:r>
          </w:p>
        </w:tc>
      </w:tr>
      <w:tr w:rsidR="00FC73A4">
        <w:trPr>
          <w:trHeight w:val="945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Responsibilities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   </w:t>
            </w:r>
          </w:p>
        </w:tc>
        <w:tc>
          <w:tcPr>
            <w:tcW w:w="7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Involved in Design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Involved in Coding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Involved in Unit testing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Segoe U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Provided status report on a daily basis to onsite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coordinator.  </w:t>
            </w:r>
            <w:r>
              <w:rPr>
                <w:rFonts w:ascii="Calibri" w:eastAsia="Times New Roman" w:hAnsi="Calibri" w:cs="Segoe UI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outset" w:sz="36" w:space="0" w:color="auto"/>
              <w:right w:val="outset" w:sz="36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sz w:val="20"/>
                <w:szCs w:val="20"/>
              </w:rPr>
              <w:t>  </w:t>
            </w:r>
          </w:p>
        </w:tc>
      </w:tr>
    </w:tbl>
    <w:p w:rsidR="00FC73A4" w:rsidRDefault="00FC73A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C73A4" w:rsidRDefault="00FC73A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"/>
        <w:gridCol w:w="7432"/>
        <w:gridCol w:w="77"/>
      </w:tblGrid>
      <w:tr w:rsidR="00FC73A4">
        <w:trPr>
          <w:trHeight w:val="315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Biztalk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Migration Project</w:t>
            </w:r>
          </w:p>
        </w:tc>
      </w:tr>
      <w:tr w:rsidR="00FC73A4">
        <w:trPr>
          <w:trHeight w:val="315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SBD, USA  </w:t>
            </w:r>
          </w:p>
        </w:tc>
      </w:tr>
      <w:tr w:rsidR="00FC73A4">
        <w:trPr>
          <w:trHeight w:val="315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Domain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Retail </w:t>
            </w:r>
          </w:p>
        </w:tc>
      </w:tr>
      <w:tr w:rsidR="00FC73A4">
        <w:trPr>
          <w:trHeight w:val="31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Azure Logic App Developer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Stanley Black &amp;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Decker,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is an American manufacturer of industrial tools and household hardware and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provider of security products.</w:t>
            </w:r>
            <w: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This project 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Biztalk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Migration Project, we are migrating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Biztalk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Applications to Azure Platform. As a part of it we analyze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Biztalk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orchestration and design the Azure components. We use the following Azure services 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achieve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Biztalk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orchestration like 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Azure Data Factory, Azure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Datalakes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Azure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Databricks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Azure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Synapse</w:t>
            </w:r>
            <w:proofErr w:type="gram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Logic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Apps, Blob container, Azure SQL DB, API Management, Service Bus-Queues, Functions, XSLT/Scheme Maps. Once the Azure components are built, we 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reate the scripts for Azure components and store in Azure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Devops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repository. Using Azure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Devops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pipeline we deploy the code to respective environment.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31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Azure Data Factory, Azure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Datalakes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Azure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Databricks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Azure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Synapse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Apps, Blob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container, Azure SQL DB, API Management, Service Bus-Queues, Functions, XSLT/Scheme Maps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Responsibilities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Involved in Design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Involved in Coding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Involved in Unit testing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Involved in Deployment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Provided status report on a daily basis to onsite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coordinator.  </w:t>
            </w:r>
          </w:p>
        </w:tc>
        <w:tc>
          <w:tcPr>
            <w:tcW w:w="77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C73A4" w:rsidRDefault="00D12B8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FC73A4" w:rsidRDefault="00FC7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"/>
        <w:gridCol w:w="7432"/>
        <w:gridCol w:w="77"/>
      </w:tblGrid>
      <w:tr w:rsidR="00FC73A4">
        <w:trPr>
          <w:trHeight w:val="315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Redcap Rebrand   </w:t>
            </w:r>
          </w:p>
        </w:tc>
      </w:tr>
      <w:tr w:rsidR="00FC73A4">
        <w:trPr>
          <w:trHeight w:val="315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Quilter, UK  </w:t>
            </w:r>
          </w:p>
        </w:tc>
      </w:tr>
      <w:tr w:rsidR="00FC73A4">
        <w:trPr>
          <w:trHeight w:val="315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Domain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Insurance  </w:t>
            </w:r>
          </w:p>
        </w:tc>
      </w:tr>
      <w:tr w:rsidR="00FC73A4">
        <w:trPr>
          <w:trHeight w:val="31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Testing Technical Lead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Quilter sold the company Old Mutual Wealth Life Assurance and Old Mutual Wealth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Pension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 Trustee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Limited, Collectively known as Heritage Books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This rebrand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 relates to rebrand activities for the Old mutual Wealth Entities, rebranding the existing Old Mutual wealth entities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Entities such as Extranet webpage changes,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changes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 Database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Program, Report) , Thunderhead report changes were identified for the Rebrand project.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31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Manual testing webpages ,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Iseries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and Thunderhead reports, HP ALM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Responsibilities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 Involved in creating Test scripts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for Manual testing.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Involved in execution of Test scripts 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Provided status report on a daily basis to onsite coordinator.  </w:t>
            </w:r>
          </w:p>
        </w:tc>
        <w:tc>
          <w:tcPr>
            <w:tcW w:w="77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 </w:t>
      </w:r>
      <w:r>
        <w:rPr>
          <w:rFonts w:ascii="Calibri" w:eastAsia="Times New Roman" w:hAnsi="Calibri" w:cs="Calibri"/>
          <w:sz w:val="20"/>
          <w:szCs w:val="20"/>
        </w:rPr>
        <w:t> </w:t>
      </w: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5"/>
        <w:gridCol w:w="7446"/>
        <w:gridCol w:w="77"/>
      </w:tblGrid>
      <w:tr w:rsidR="00FC73A4">
        <w:trPr>
          <w:trHeight w:val="31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International Rebrand   </w:t>
            </w:r>
          </w:p>
        </w:tc>
      </w:tr>
      <w:tr w:rsidR="00FC73A4">
        <w:trPr>
          <w:trHeight w:val="31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Quilter, UK  </w:t>
            </w:r>
          </w:p>
        </w:tc>
      </w:tr>
      <w:tr w:rsidR="00FC73A4">
        <w:trPr>
          <w:trHeight w:val="31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Domain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Insurance  </w:t>
            </w:r>
          </w:p>
        </w:tc>
      </w:tr>
      <w:tr w:rsidR="00FC73A4">
        <w:trPr>
          <w:trHeight w:val="31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Testing Technical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Lead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As a part of managed separation of Quilter from Old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Mutual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Quilter currently trading with Old mutual Wealth intends to transition all company naming and visual brand to Quilter Brand for its business. This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Rebrand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project relates to rebrand activities for the International Entities, rebranding the existing Old Mutual International entities to Quilter International. Entities such as Extranet webpage changes,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Iseries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changes ( Database, Program, Repo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rt) , Thunderhead report changes were identified for the Rebrand project.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31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Manual testing webpages ,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Iseries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and Thunderhead reports, HP ALM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Responsibilities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Involved in creating Test scripts for Manual testing.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 Involved in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execution of Test scripts 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Provided status report on a daily basis to onsite coordinator.  </w:t>
            </w:r>
          </w:p>
        </w:tc>
        <w:tc>
          <w:tcPr>
            <w:tcW w:w="77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C73A4" w:rsidRDefault="00D12B8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:rsidR="00FC73A4" w:rsidRDefault="00FC7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5"/>
        <w:gridCol w:w="7446"/>
        <w:gridCol w:w="77"/>
      </w:tblGrid>
      <w:tr w:rsidR="00FC73A4">
        <w:trPr>
          <w:trHeight w:val="31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Mainframe Migration  </w:t>
            </w:r>
          </w:p>
        </w:tc>
      </w:tr>
      <w:tr w:rsidR="00FC73A4">
        <w:trPr>
          <w:trHeight w:val="31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Aegon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Netherlands  </w:t>
            </w:r>
          </w:p>
        </w:tc>
      </w:tr>
      <w:tr w:rsidR="00FC73A4">
        <w:trPr>
          <w:trHeight w:val="31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Domain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Insurance  </w:t>
            </w:r>
          </w:p>
        </w:tc>
      </w:tr>
      <w:tr w:rsidR="00FC73A4">
        <w:trPr>
          <w:trHeight w:val="31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Testing Technical Lead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MFR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(Migration of Mainframe to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Microfocus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 This project is about migration of Mainframe application to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Microfocus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environment. As a part of it, we need to ensure the all mainframe application related components be moved to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Microfocus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environment. We will be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nvolved in testing the mainframe application both in source environment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i.e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Mainframe) and Target environment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i.e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Microfocus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 We will use automation Tools like TOSCA to ensure the Target environment is working the same as the source environment. 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31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Skills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TOSCA automation tool, Mainframe Testing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126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Responsibilities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 Involved in creating Functional/Regression Test scripts for both </w:t>
            </w:r>
          </w:p>
          <w:p w:rsidR="00FC73A4" w:rsidRDefault="00D12B85">
            <w:pPr>
              <w:tabs>
                <w:tab w:val="left" w:pos="720"/>
              </w:tabs>
              <w:spacing w:after="0" w:line="240" w:lineRule="auto"/>
              <w:ind w:left="600" w:firstLineChars="100" w:firstLine="200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Automation and Manual 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testing.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Involved in execution of Test scripts 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 Provided status report on a daily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basis to onsite coordinator.  </w:t>
            </w:r>
          </w:p>
        </w:tc>
        <w:tc>
          <w:tcPr>
            <w:tcW w:w="77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5"/>
        <w:gridCol w:w="7447"/>
        <w:gridCol w:w="77"/>
      </w:tblGrid>
      <w:tr w:rsidR="00FC73A4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Mainframe Hardware Upgrade  </w:t>
            </w:r>
          </w:p>
        </w:tc>
      </w:tr>
      <w:tr w:rsidR="00FC73A4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USFOODS, USA  </w:t>
            </w:r>
          </w:p>
        </w:tc>
      </w:tr>
      <w:tr w:rsidR="00FC73A4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Domain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Retail  </w:t>
            </w:r>
          </w:p>
        </w:tc>
      </w:tr>
      <w:tr w:rsidR="00FC73A4">
        <w:trPr>
          <w:trHeight w:val="315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Testing Technical Lead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 a part of this project, Testing needs to be done before upgrade and after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upgrade for below Technologies:  </w:t>
            </w:r>
          </w:p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1. PRISM a power builder application which is interfaced with TANDEM and Mainframe  </w:t>
            </w:r>
          </w:p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2. Mainframe Batch jobs  </w:t>
            </w:r>
          </w:p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3. Tandem Screens  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315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TOSCA automation tool, Mainframe testing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1260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Responsibilities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 Involved in creating Functional/Regression Test scripts for both </w:t>
            </w:r>
          </w:p>
          <w:p w:rsidR="00FC73A4" w:rsidRDefault="00D12B85">
            <w:pPr>
              <w:tabs>
                <w:tab w:val="left" w:pos="720"/>
              </w:tabs>
              <w:spacing w:after="0" w:line="240" w:lineRule="auto"/>
              <w:ind w:left="600" w:firstLineChars="100" w:firstLine="200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Automation and Manual testing.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Involved in execution of Test scripts 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 Provided status report on a daily basis to onsite coordinator.    </w:t>
            </w:r>
          </w:p>
        </w:tc>
        <w:tc>
          <w:tcPr>
            <w:tcW w:w="77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:rsidR="00FC73A4" w:rsidRDefault="00FC7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"/>
        <w:gridCol w:w="7432"/>
        <w:gridCol w:w="77"/>
      </w:tblGrid>
      <w:tr w:rsidR="00FC73A4">
        <w:trPr>
          <w:trHeight w:val="315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RMP application (Relation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manager processing)  </w:t>
            </w:r>
          </w:p>
        </w:tc>
      </w:tr>
      <w:tr w:rsidR="00FC73A4">
        <w:trPr>
          <w:trHeight w:val="315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RBS,UK  </w:t>
            </w:r>
          </w:p>
        </w:tc>
      </w:tr>
      <w:tr w:rsidR="00FC73A4">
        <w:trPr>
          <w:trHeight w:val="315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Domain 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Banking  </w:t>
            </w:r>
          </w:p>
        </w:tc>
      </w:tr>
      <w:tr w:rsidR="00FC73A4">
        <w:trPr>
          <w:trHeight w:val="31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Mainframe Technical Lead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Relation manager processing is an application which used to set credit limit to credit 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card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holders based on the score of the customer.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 checks for any defaulters or fraud customers, if any such customer’s then relation manager is altered before setting the credit limit for those customers.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31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COBOL, IMS/DB, JCL, VSAM, File-Aid, QMF, SPUFI,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Endevor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126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Responsibilities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Involved in design and created Design documents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Worked on coding the business requirements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Created Unit test cases and executed it.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Provided status report on a daily basis to onsite coordinator.  </w:t>
            </w:r>
          </w:p>
        </w:tc>
        <w:tc>
          <w:tcPr>
            <w:tcW w:w="77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C73A4" w:rsidRDefault="00FC7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C73A4" w:rsidRDefault="00FC7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C73A4" w:rsidRDefault="00FC7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C73A4" w:rsidRDefault="00FC7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5"/>
        <w:gridCol w:w="7424"/>
        <w:gridCol w:w="77"/>
      </w:tblGrid>
      <w:tr w:rsidR="00FC73A4">
        <w:trPr>
          <w:trHeight w:val="315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Enhanced Annuities</w:t>
            </w:r>
          </w:p>
        </w:tc>
      </w:tr>
      <w:tr w:rsidR="00FC73A4">
        <w:trPr>
          <w:trHeight w:val="315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Scottish Widows, UK  </w:t>
            </w:r>
          </w:p>
        </w:tc>
      </w:tr>
      <w:tr w:rsidR="00FC73A4">
        <w:trPr>
          <w:trHeight w:val="315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Domain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Insurance  </w:t>
            </w:r>
          </w:p>
        </w:tc>
      </w:tr>
      <w:tr w:rsidR="00FC73A4">
        <w:trPr>
          <w:trHeight w:val="315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Role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Mainframe Maintenance Developer 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945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overall aim of the project is to enable SW to offer a competitive enhanced annuity  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 to the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market via 3 portals. Quote details will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entered through one of the  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three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portals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AssureWeb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and TOMAS. This Quoted data is then passed to LBG  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using the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3.7 Standards and will be validated and then passed to the Annuity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Calculation process following the details in the Calcul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ation Specification.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This includes an automated medical underwriting decision from the AURA system, 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which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will either rate the business or decline the request. The annuity quote details 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successful or rejection / error details are then returned in a messa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 back to the 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originating portal.  PDF's of the Quote Illustration and a pre-populated application 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form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will be created and stored. If the client wishes to proceed with the SW Enhanced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Annuity, then a new request comes from the portal and the documentation is passed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the IFA for them to print and complete. The IFA will then print the application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form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the Client to complete.  This document will be posted to SW CS and then be 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scanned and loaded into the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workflow system for processing.  The CS advisor will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validate the application form which will be pre populated into New Business from data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held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Swiftel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An age check is also performed. If either the date check, age 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eck or 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tolerance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check fails a recalculation is made, based on the latest pricing parameters. 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Once the application forms are completed successfully, then the policy will be updated </w:t>
            </w:r>
          </w:p>
          <w:p w:rsidR="00FC73A4" w:rsidRDefault="00D12B85">
            <w:pPr>
              <w:spacing w:after="0" w:line="240" w:lineRule="auto"/>
              <w:ind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NB and become active.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315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IMS/DB, COBOL, DB2 , JCL, VSAM,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File-Aid, QMF, SPUFI, 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Panvalet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C73A4">
        <w:trPr>
          <w:trHeight w:val="1260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spacing w:after="0" w:line="240" w:lineRule="auto"/>
              <w:ind w:left="135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Responsibilities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7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Involved in design and created Design documents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Worked on coding the business requirements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Created Unit test cases and executed it.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Organized onsite call with onsite coordinator.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Provided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status report on a daily basis to onsite coordinator.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Reviewed all maintenance deliverables like Coding fixing, Unit testing </w:t>
            </w:r>
          </w:p>
          <w:p w:rsidR="00FC73A4" w:rsidRDefault="00D12B85">
            <w:pPr>
              <w:tabs>
                <w:tab w:val="left" w:pos="720"/>
              </w:tabs>
              <w:spacing w:after="0" w:line="240" w:lineRule="auto"/>
              <w:ind w:left="600" w:firstLineChars="50" w:firstLine="100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of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fixed codes and delivered to onsite.  </w:t>
            </w:r>
          </w:p>
          <w:p w:rsidR="00FC73A4" w:rsidRDefault="00D12B85">
            <w:pPr>
              <w:numPr>
                <w:ilvl w:val="0"/>
                <w:numId w:val="2"/>
              </w:numPr>
              <w:tabs>
                <w:tab w:val="clear" w:pos="-120"/>
                <w:tab w:val="left" w:pos="720"/>
              </w:tabs>
              <w:spacing w:after="0" w:line="240" w:lineRule="auto"/>
              <w:ind w:left="15" w:firstLine="585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Involved in Production implementation activities.    </w:t>
            </w:r>
          </w:p>
        </w:tc>
        <w:tc>
          <w:tcPr>
            <w:tcW w:w="77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</w:tcPr>
          <w:p w:rsidR="00FC73A4" w:rsidRDefault="00D12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C73A4" w:rsidRDefault="00FC7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C73A4" w:rsidRDefault="00FC73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:rsidR="00FC73A4" w:rsidRDefault="00D12B8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:rsidR="00FC73A4" w:rsidRDefault="00D12B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0"/>
          <w:szCs w:val="20"/>
        </w:rPr>
        <w:t> </w:t>
      </w:r>
    </w:p>
    <w:p w:rsidR="00FC73A4" w:rsidRDefault="00D12B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FC7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8FF"/>
    <w:multiLevelType w:val="multilevel"/>
    <w:tmpl w:val="061A48FF"/>
    <w:lvl w:ilvl="0">
      <w:start w:val="1"/>
      <w:numFmt w:val="bullet"/>
      <w:lvlText w:val=""/>
      <w:lvlJc w:val="left"/>
      <w:pPr>
        <w:tabs>
          <w:tab w:val="left" w:pos="-120"/>
        </w:tabs>
        <w:ind w:left="-1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600"/>
        </w:tabs>
        <w:ind w:left="6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320"/>
        </w:tabs>
        <w:ind w:left="13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2760"/>
        </w:tabs>
        <w:ind w:left="27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480"/>
        </w:tabs>
        <w:ind w:left="34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4920"/>
        </w:tabs>
        <w:ind w:left="49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1">
    <w:nsid w:val="467C36DC"/>
    <w:multiLevelType w:val="multilevel"/>
    <w:tmpl w:val="467C3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E"/>
    <w:rsid w:val="000018D9"/>
    <w:rsid w:val="001134BD"/>
    <w:rsid w:val="00151337"/>
    <w:rsid w:val="001A0B9F"/>
    <w:rsid w:val="00245F48"/>
    <w:rsid w:val="002B0364"/>
    <w:rsid w:val="00312FA0"/>
    <w:rsid w:val="0041232E"/>
    <w:rsid w:val="005D3BF3"/>
    <w:rsid w:val="006354B2"/>
    <w:rsid w:val="006E7DB2"/>
    <w:rsid w:val="007143F1"/>
    <w:rsid w:val="007D7925"/>
    <w:rsid w:val="0081648A"/>
    <w:rsid w:val="0086440A"/>
    <w:rsid w:val="00890FF4"/>
    <w:rsid w:val="008F2116"/>
    <w:rsid w:val="00965E93"/>
    <w:rsid w:val="00A6456B"/>
    <w:rsid w:val="00B57D92"/>
    <w:rsid w:val="00C21E9B"/>
    <w:rsid w:val="00C64A81"/>
    <w:rsid w:val="00C76901"/>
    <w:rsid w:val="00D12B85"/>
    <w:rsid w:val="00D27A13"/>
    <w:rsid w:val="00D570E7"/>
    <w:rsid w:val="00EB614D"/>
    <w:rsid w:val="00EC3DA2"/>
    <w:rsid w:val="00EF69AC"/>
    <w:rsid w:val="00F124EE"/>
    <w:rsid w:val="00F359D5"/>
    <w:rsid w:val="00FC73A4"/>
    <w:rsid w:val="02F91864"/>
    <w:rsid w:val="0ED87086"/>
    <w:rsid w:val="105842F0"/>
    <w:rsid w:val="20067BBC"/>
    <w:rsid w:val="4DF24666"/>
    <w:rsid w:val="4F574C7F"/>
    <w:rsid w:val="59E2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outlineelement">
    <w:name w:val="outlineelemen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outlineelement">
    <w:name w:val="outlineelemen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354e5057cd5f1c0984ba3fcf6d2b6d16134f530e18705c4458440321091b5b581a0d17011340515e1b4d58515c424154181c084b281e010303071941515e0f59580f1b425c4c01090340281e0103140a14405d5e014d584b50535a4f162e024b4340010143071944095400551b135b105516155c5c00031c120842501442095b5d5518120a10031753444f4a081e0103030513435d580959481100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Prakaz</dc:creator>
  <cp:lastModifiedBy>Bharath</cp:lastModifiedBy>
  <cp:revision>2</cp:revision>
  <dcterms:created xsi:type="dcterms:W3CDTF">2023-08-04T14:43:00Z</dcterms:created>
  <dcterms:modified xsi:type="dcterms:W3CDTF">2023-08-04T14:43:00Z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B192F4C0A8114CDB94304695F510A5D4</vt:lpwstr>
  </property>
  <property fmtid="{D5CDD505-2E9C-101B-9397-08002B2CF9AE}" pid="3" name="KSOProductBuildVer">
    <vt:lpwstr>1033-11.2.0.11417</vt:lpwstr>
  </property>
</Properties>
</file>